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A175" w14:textId="6CB3369A" w:rsidR="00573D67" w:rsidRPr="009971F6" w:rsidRDefault="00F868D5" w:rsidP="00D3677A">
      <w:pPr>
        <w:pStyle w:val="Default"/>
        <w:jc w:val="center"/>
        <w:rPr>
          <w:rFonts w:ascii="Times New Roman" w:hAnsi="Times New Roman" w:cs="Times New Roman"/>
          <w:b/>
          <w:bCs/>
          <w:sz w:val="28"/>
          <w:szCs w:val="28"/>
        </w:rPr>
      </w:pPr>
      <w:r w:rsidRPr="009971F6">
        <w:rPr>
          <w:rFonts w:ascii="Times New Roman" w:hAnsi="Times New Roman" w:cs="Times New Roman"/>
          <w:b/>
          <w:bCs/>
          <w:color w:val="222222"/>
          <w:sz w:val="28"/>
          <w:szCs w:val="28"/>
          <w:shd w:val="clear" w:color="auto" w:fill="FFFFFF"/>
        </w:rPr>
        <w:t>ANÁLISE DA TRANSIÇÃO FLORESTAL NA AMAZÔNIA LEGAL</w:t>
      </w:r>
    </w:p>
    <w:p w14:paraId="0EA0CD24" w14:textId="77777777" w:rsidR="00573D67" w:rsidRPr="009971F6" w:rsidRDefault="00573D67" w:rsidP="00D3677A">
      <w:pPr>
        <w:pStyle w:val="Default"/>
        <w:jc w:val="center"/>
        <w:rPr>
          <w:rFonts w:ascii="Times New Roman" w:hAnsi="Times New Roman" w:cs="Times New Roman"/>
          <w:b/>
          <w:bCs/>
        </w:rPr>
      </w:pPr>
    </w:p>
    <w:p w14:paraId="6E500B89" w14:textId="73F1D20C" w:rsidR="00A1799C" w:rsidRPr="009971F6" w:rsidRDefault="003A02D1" w:rsidP="00D3677A">
      <w:pPr>
        <w:pStyle w:val="Default"/>
        <w:jc w:val="center"/>
        <w:rPr>
          <w:rFonts w:ascii="Times New Roman" w:hAnsi="Times New Roman" w:cs="Times New Roman"/>
          <w:bCs/>
        </w:rPr>
      </w:pPr>
      <w:r>
        <w:rPr>
          <w:rFonts w:ascii="Times New Roman" w:hAnsi="Times New Roman" w:cs="Times New Roman"/>
          <w:bCs/>
        </w:rPr>
        <w:t>Autor 1</w:t>
      </w:r>
      <w:r w:rsidR="002B57FF" w:rsidRPr="009971F6">
        <w:rPr>
          <w:rFonts w:ascii="Times New Roman" w:hAnsi="Times New Roman" w:cs="Times New Roman"/>
          <w:bCs/>
        </w:rPr>
        <w:t xml:space="preserve">; </w:t>
      </w:r>
      <w:r>
        <w:rPr>
          <w:rFonts w:ascii="Times New Roman" w:hAnsi="Times New Roman" w:cs="Times New Roman"/>
          <w:bCs/>
        </w:rPr>
        <w:t>Autor2</w:t>
      </w:r>
      <w:r w:rsidR="00A1799C" w:rsidRPr="009971F6">
        <w:rPr>
          <w:rFonts w:ascii="Times New Roman" w:hAnsi="Times New Roman" w:cs="Times New Roman"/>
          <w:bCs/>
        </w:rPr>
        <w:tab/>
      </w:r>
    </w:p>
    <w:p w14:paraId="75A90E14" w14:textId="77777777" w:rsidR="00A1799C" w:rsidRPr="009971F6" w:rsidRDefault="00A1799C" w:rsidP="00D3677A">
      <w:pPr>
        <w:jc w:val="both"/>
        <w:rPr>
          <w:b/>
        </w:rPr>
      </w:pPr>
    </w:p>
    <w:p w14:paraId="506B17F6" w14:textId="532ADD12" w:rsidR="00D77723" w:rsidRPr="009971F6" w:rsidRDefault="00573D67" w:rsidP="00D3677A">
      <w:pPr>
        <w:jc w:val="both"/>
      </w:pPr>
      <w:r w:rsidRPr="009971F6">
        <w:rPr>
          <w:b/>
        </w:rPr>
        <w:t>R</w:t>
      </w:r>
      <w:r w:rsidR="0016621D" w:rsidRPr="009971F6">
        <w:rPr>
          <w:b/>
        </w:rPr>
        <w:t>esumo</w:t>
      </w:r>
      <w:r w:rsidR="005B3D1B" w:rsidRPr="009971F6">
        <w:rPr>
          <w:b/>
        </w:rPr>
        <w:t xml:space="preserve">: </w:t>
      </w:r>
      <w:r w:rsidR="00CE647D" w:rsidRPr="009971F6">
        <w:t xml:space="preserve">A </w:t>
      </w:r>
      <w:r w:rsidR="004F559F" w:rsidRPr="009971F6">
        <w:t>T</w:t>
      </w:r>
      <w:r w:rsidR="00CE647D" w:rsidRPr="009971F6">
        <w:t xml:space="preserve">eoria da </w:t>
      </w:r>
      <w:r w:rsidR="004E5C6E" w:rsidRPr="009971F6">
        <w:t>T</w:t>
      </w:r>
      <w:r w:rsidR="00CE647D" w:rsidRPr="009971F6">
        <w:t xml:space="preserve">ransição </w:t>
      </w:r>
      <w:r w:rsidR="004E5C6E" w:rsidRPr="009971F6">
        <w:t>F</w:t>
      </w:r>
      <w:r w:rsidR="00CE647D" w:rsidRPr="009971F6">
        <w:t xml:space="preserve">lorestal </w:t>
      </w:r>
      <w:r w:rsidR="004F559F" w:rsidRPr="009971F6">
        <w:t xml:space="preserve">(TTF) </w:t>
      </w:r>
      <w:r w:rsidR="00CE647D" w:rsidRPr="009971F6">
        <w:t>busca analisar o fenômeno de longo prazo no qual o declínio da área de florestas é substituído pela regeneração florestal, tendo-se assim uma curva de TTF com formato semelhante a</w:t>
      </w:r>
      <w:r w:rsidR="005A07EB" w:rsidRPr="009971F6">
        <w:t xml:space="preserve"> um</w:t>
      </w:r>
      <w:r w:rsidR="00CE647D" w:rsidRPr="009971F6">
        <w:t xml:space="preserve"> “U”. Essas mudanças na cobertura florestal estão relacionadas a alocação ótima do uso da terra pelos agentes, que pode ser afetada por políticas, falhas de mercado e fatores externos. Desta forma, utilizou-se do modelo de dados em painel para identificar os principais fatores determinantes nas mudanças da proporção de área florestal para os municípios da Amazônia Legal</w:t>
      </w:r>
      <w:r w:rsidR="00B45000" w:rsidRPr="009971F6">
        <w:t xml:space="preserve"> no período de 2005 a 2020</w:t>
      </w:r>
      <w:r w:rsidR="00600EFA" w:rsidRPr="009971F6">
        <w:t>. Para isso, verificou-se diferentes indicadores demográficos, econômicos e de políticas ambientais. Os resultados obtidos pela pesquisa indicam que os indicadores de PIB per capita provocam, a longo prazo, uma contribuição com o aumento da proporção florestal, enquanto a densidade demográfica, a proporção de PIB agrícola e o valor médio de multas são negativamente relacionados com as áreas florestais.</w:t>
      </w:r>
      <w:r w:rsidR="00956DAC" w:rsidRPr="009971F6">
        <w:t xml:space="preserve"> Verificou-se, portanto, a possibilidade de uma curva em formato de “U” como indicado pela </w:t>
      </w:r>
      <w:r w:rsidR="004E5C6E" w:rsidRPr="009971F6">
        <w:t>TTF</w:t>
      </w:r>
      <w:r w:rsidR="00956DAC" w:rsidRPr="009971F6">
        <w:t>.</w:t>
      </w:r>
    </w:p>
    <w:p w14:paraId="02DFA0A4" w14:textId="77777777" w:rsidR="006F34C0" w:rsidRPr="009971F6" w:rsidRDefault="006F34C0" w:rsidP="00D3677A">
      <w:pPr>
        <w:jc w:val="both"/>
        <w:rPr>
          <w:b/>
          <w:bCs/>
        </w:rPr>
      </w:pPr>
    </w:p>
    <w:p w14:paraId="497613E1" w14:textId="2B915E69" w:rsidR="00573D67" w:rsidRPr="009971F6" w:rsidRDefault="00573D67" w:rsidP="00D3677A">
      <w:pPr>
        <w:jc w:val="both"/>
        <w:rPr>
          <w:lang w:val="en-US"/>
        </w:rPr>
      </w:pPr>
      <w:r w:rsidRPr="009971F6">
        <w:rPr>
          <w:b/>
          <w:bCs/>
        </w:rPr>
        <w:t>Palavras-chave:</w:t>
      </w:r>
      <w:r w:rsidRPr="009971F6">
        <w:t xml:space="preserve"> </w:t>
      </w:r>
      <w:r w:rsidR="00956DAC" w:rsidRPr="009971F6">
        <w:t xml:space="preserve">Amazônia. Amazônia Legal. </w:t>
      </w:r>
      <w:r w:rsidR="00956DAC" w:rsidRPr="009971F6">
        <w:rPr>
          <w:lang w:val="en-US"/>
        </w:rPr>
        <w:t>Teoria da Transição Florestal. Desmatamento</w:t>
      </w:r>
    </w:p>
    <w:p w14:paraId="51E56BEA" w14:textId="77777777" w:rsidR="00573D67" w:rsidRPr="009971F6" w:rsidRDefault="00573D67" w:rsidP="00D3677A">
      <w:pPr>
        <w:jc w:val="both"/>
        <w:rPr>
          <w:lang w:val="en-US"/>
        </w:rPr>
      </w:pPr>
    </w:p>
    <w:p w14:paraId="65A5FABF" w14:textId="77777777" w:rsidR="006F34C0" w:rsidRPr="009971F6" w:rsidRDefault="006F34C0" w:rsidP="00D3677A">
      <w:pPr>
        <w:jc w:val="both"/>
        <w:rPr>
          <w:lang w:val="en-US"/>
        </w:rPr>
      </w:pPr>
    </w:p>
    <w:p w14:paraId="136DF488" w14:textId="09F404C9" w:rsidR="00F06967" w:rsidRPr="009971F6" w:rsidRDefault="00FF1287" w:rsidP="006F34C0">
      <w:pPr>
        <w:jc w:val="center"/>
        <w:rPr>
          <w:b/>
          <w:bCs/>
          <w:sz w:val="28"/>
          <w:szCs w:val="28"/>
          <w:lang w:val="en-US"/>
        </w:rPr>
      </w:pPr>
      <w:r w:rsidRPr="009971F6">
        <w:rPr>
          <w:b/>
          <w:bCs/>
          <w:sz w:val="28"/>
          <w:szCs w:val="28"/>
          <w:lang w:val="en-US"/>
        </w:rPr>
        <w:t>ANALYSIS OF THE FOREST TRANSITION IN THE LEGAL AMAZON</w:t>
      </w:r>
    </w:p>
    <w:p w14:paraId="462B80CB" w14:textId="77777777" w:rsidR="008871F4" w:rsidRPr="009971F6" w:rsidRDefault="008871F4" w:rsidP="00D3677A">
      <w:pPr>
        <w:rPr>
          <w:b/>
          <w:bCs/>
          <w:lang w:val="en-US"/>
        </w:rPr>
      </w:pPr>
    </w:p>
    <w:p w14:paraId="51C8B760" w14:textId="0B9557F4" w:rsidR="00F57912" w:rsidRPr="009971F6" w:rsidRDefault="00F57912" w:rsidP="008871F4">
      <w:pPr>
        <w:jc w:val="both"/>
        <w:rPr>
          <w:b/>
          <w:bCs/>
          <w:lang w:val="en-US"/>
        </w:rPr>
      </w:pPr>
      <w:r w:rsidRPr="009971F6">
        <w:rPr>
          <w:b/>
          <w:bCs/>
          <w:lang w:val="en-US"/>
        </w:rPr>
        <w:t>A</w:t>
      </w:r>
      <w:r w:rsidR="0016621D" w:rsidRPr="009971F6">
        <w:rPr>
          <w:b/>
          <w:bCs/>
          <w:lang w:val="en-US"/>
        </w:rPr>
        <w:t>bstract</w:t>
      </w:r>
      <w:r w:rsidR="008871F4" w:rsidRPr="009971F6">
        <w:rPr>
          <w:b/>
          <w:bCs/>
          <w:lang w:val="en-US"/>
        </w:rPr>
        <w:t xml:space="preserve">: </w:t>
      </w:r>
      <w:r w:rsidRPr="009971F6">
        <w:rPr>
          <w:lang w:val="en-US"/>
        </w:rPr>
        <w:t>The forest transition theory seeks to analyze the long-term phenomenon in which the decline in forest area is replaced by forest regeneration, resulting in a curve with a U-shaped pattern. These changes in forest cover are related to the optimal allocation of land use by agents, which can be affected by policies, market failures, and external factors. Thus, panel data model was used to identify the main determining factors in the changes in the proportion of forest area for the municipalities in the Legal Amazon</w:t>
      </w:r>
      <w:r w:rsidR="00B345A7" w:rsidRPr="009971F6">
        <w:rPr>
          <w:lang w:val="en-US"/>
        </w:rPr>
        <w:t xml:space="preserve"> from 2005 to 2020</w:t>
      </w:r>
      <w:r w:rsidRPr="009971F6">
        <w:rPr>
          <w:lang w:val="en-US"/>
        </w:rPr>
        <w:t>. Different demographic, economic, and environmental policy indicators were examined. The research results indicate that per capita GDP indicators contribute in the long term to an increase in forest proportion, while population density, agricultural GDP proportion, and average fine value are negatively related to forest areas. Therefore, the possibility of a U-shaped curve as indicated by the forest transition theory was observed.</w:t>
      </w:r>
    </w:p>
    <w:p w14:paraId="37E737A5" w14:textId="77777777" w:rsidR="006F34C0" w:rsidRPr="009971F6" w:rsidRDefault="006F34C0" w:rsidP="008871F4">
      <w:pPr>
        <w:jc w:val="both"/>
        <w:rPr>
          <w:b/>
          <w:bCs/>
          <w:lang w:val="en-US"/>
        </w:rPr>
      </w:pPr>
    </w:p>
    <w:p w14:paraId="529F958B" w14:textId="5822536C" w:rsidR="00A62A37" w:rsidRPr="009971F6" w:rsidRDefault="00A62A37" w:rsidP="008871F4">
      <w:pPr>
        <w:jc w:val="both"/>
      </w:pPr>
      <w:r w:rsidRPr="009971F6">
        <w:rPr>
          <w:b/>
          <w:bCs/>
          <w:lang w:val="en-US"/>
        </w:rPr>
        <w:t>Keywords:</w:t>
      </w:r>
      <w:r w:rsidRPr="009971F6">
        <w:rPr>
          <w:lang w:val="en-US"/>
        </w:rPr>
        <w:t xml:space="preserve"> </w:t>
      </w:r>
      <w:r w:rsidR="00F57912" w:rsidRPr="009971F6">
        <w:rPr>
          <w:lang w:val="en-US"/>
        </w:rPr>
        <w:t xml:space="preserve">Amazon. Legal Amazon. Forestal Transition Theory. </w:t>
      </w:r>
      <w:r w:rsidR="00F57912" w:rsidRPr="009971F6">
        <w:t>Deforestation.</w:t>
      </w:r>
    </w:p>
    <w:p w14:paraId="7580B5A1" w14:textId="77777777" w:rsidR="00A1799C" w:rsidRPr="009971F6" w:rsidRDefault="00A1799C" w:rsidP="00D3677A">
      <w:pPr>
        <w:pStyle w:val="Ttulo1"/>
        <w:ind w:left="0" w:firstLine="0"/>
      </w:pPr>
      <w:bookmarkStart w:id="0" w:name="_Toc130219015"/>
    </w:p>
    <w:p w14:paraId="69751A72" w14:textId="77777777" w:rsidR="008871F4" w:rsidRPr="009971F6" w:rsidRDefault="008871F4">
      <w:pPr>
        <w:rPr>
          <w:b/>
        </w:rPr>
      </w:pPr>
      <w:r w:rsidRPr="009971F6">
        <w:br w:type="page"/>
      </w:r>
    </w:p>
    <w:p w14:paraId="41D382D8" w14:textId="3C82723A" w:rsidR="00573D67" w:rsidRPr="009971F6" w:rsidRDefault="00573D67" w:rsidP="00D3677A">
      <w:pPr>
        <w:pStyle w:val="Ttulo1"/>
        <w:ind w:left="0" w:firstLine="0"/>
        <w:rPr>
          <w:b w:val="0"/>
          <w:bCs/>
        </w:rPr>
      </w:pPr>
      <w:r w:rsidRPr="009971F6">
        <w:lastRenderedPageBreak/>
        <w:t>1</w:t>
      </w:r>
      <w:r w:rsidR="00AA1043" w:rsidRPr="009971F6">
        <w:rPr>
          <w:b w:val="0"/>
          <w:bCs/>
        </w:rPr>
        <w:t xml:space="preserve"> </w:t>
      </w:r>
      <w:r w:rsidR="00AA1043" w:rsidRPr="000F705B">
        <w:t>I</w:t>
      </w:r>
      <w:r w:rsidR="000F705B" w:rsidRPr="009971F6">
        <w:rPr>
          <w:rStyle w:val="Ttulo1Char"/>
          <w:b/>
          <w:bCs/>
        </w:rPr>
        <w:t>ntrodução</w:t>
      </w:r>
      <w:bookmarkEnd w:id="0"/>
    </w:p>
    <w:p w14:paraId="6A4F790D" w14:textId="406B8C12" w:rsidR="00F12558" w:rsidRPr="009971F6" w:rsidRDefault="003E1188" w:rsidP="00D3677A">
      <w:pPr>
        <w:spacing w:line="360" w:lineRule="auto"/>
        <w:ind w:firstLine="567"/>
        <w:jc w:val="both"/>
      </w:pPr>
      <w:r w:rsidRPr="009971F6">
        <w:t xml:space="preserve">A Amazônia é </w:t>
      </w:r>
      <w:r w:rsidR="004E5746" w:rsidRPr="009971F6">
        <w:t>a</w:t>
      </w:r>
      <w:r w:rsidR="001864F3" w:rsidRPr="009971F6">
        <w:t xml:space="preserve"> mai</w:t>
      </w:r>
      <w:r w:rsidR="00F10DE8" w:rsidRPr="009971F6">
        <w:t>o</w:t>
      </w:r>
      <w:r w:rsidR="001864F3" w:rsidRPr="009971F6">
        <w:t>r</w:t>
      </w:r>
      <w:r w:rsidR="004E5746" w:rsidRPr="009971F6">
        <w:t xml:space="preserve"> área</w:t>
      </w:r>
      <w:r w:rsidR="001864F3" w:rsidRPr="009971F6">
        <w:t xml:space="preserve"> remanescente de floresta tropical </w:t>
      </w:r>
      <w:r w:rsidRPr="009971F6">
        <w:t>do mundo</w:t>
      </w:r>
      <w:r w:rsidR="002505A1" w:rsidRPr="009971F6">
        <w:t>, abrangendo diversos países da américa latina</w:t>
      </w:r>
      <w:r w:rsidR="00503769" w:rsidRPr="009971F6">
        <w:t>, tais como Brasil, Peru, Bolívia, Equador, Colômbia e Venezuela</w:t>
      </w:r>
      <w:r w:rsidR="007774E1" w:rsidRPr="009971F6">
        <w:t>,</w:t>
      </w:r>
      <w:r w:rsidR="0041406F" w:rsidRPr="009971F6">
        <w:t xml:space="preserve"> </w:t>
      </w:r>
      <w:r w:rsidR="002505A1" w:rsidRPr="009971F6">
        <w:t>com uma extensão territorial superior a 6,7 milhões de km</w:t>
      </w:r>
      <w:r w:rsidR="002505A1" w:rsidRPr="009971F6">
        <w:rPr>
          <w:vertAlign w:val="superscript"/>
        </w:rPr>
        <w:t>2</w:t>
      </w:r>
      <w:r w:rsidR="00782DC5" w:rsidRPr="009971F6">
        <w:t xml:space="preserve"> (IBGE</w:t>
      </w:r>
      <w:r w:rsidR="007B5408" w:rsidRPr="009971F6">
        <w:t>, 2021</w:t>
      </w:r>
      <w:r w:rsidR="00782DC5" w:rsidRPr="009971F6">
        <w:t>)</w:t>
      </w:r>
      <w:r w:rsidR="0041406F" w:rsidRPr="009971F6">
        <w:t>.</w:t>
      </w:r>
      <w:r w:rsidR="00C81475" w:rsidRPr="009971F6">
        <w:t xml:space="preserve"> </w:t>
      </w:r>
      <w:r w:rsidR="00EE7C0D" w:rsidRPr="009971F6">
        <w:t>Sendo assim</w:t>
      </w:r>
      <w:r w:rsidR="002505A1" w:rsidRPr="009971F6">
        <w:t xml:space="preserve">, o bioma é </w:t>
      </w:r>
      <w:r w:rsidR="004E5746" w:rsidRPr="009971F6">
        <w:t xml:space="preserve">considerado </w:t>
      </w:r>
      <w:r w:rsidR="002505A1" w:rsidRPr="009971F6">
        <w:t>de essencial importância para o equilíbrio ambiental global.</w:t>
      </w:r>
    </w:p>
    <w:p w14:paraId="05E3C6BC" w14:textId="0DDCB4B1" w:rsidR="007B5408" w:rsidRPr="009971F6" w:rsidRDefault="007B5408" w:rsidP="00D3677A">
      <w:pPr>
        <w:spacing w:line="360" w:lineRule="auto"/>
        <w:ind w:firstLine="567"/>
        <w:jc w:val="both"/>
      </w:pPr>
      <w:r w:rsidRPr="009971F6">
        <w:t xml:space="preserve">A Amazônia Legal é uma área reconhecida pela Superintendência de Desenvolvimento da Amazônia </w:t>
      </w:r>
      <w:r w:rsidR="004A596E" w:rsidRPr="009971F6">
        <w:t xml:space="preserve">– </w:t>
      </w:r>
      <w:r w:rsidRPr="009971F6">
        <w:t xml:space="preserve">SUDAM, criada </w:t>
      </w:r>
      <w:r w:rsidR="007C23DA" w:rsidRPr="009971F6">
        <w:t xml:space="preserve">com </w:t>
      </w:r>
      <w:r w:rsidRPr="009971F6">
        <w:t xml:space="preserve">o Art. </w:t>
      </w:r>
      <w:r w:rsidR="007C23DA" w:rsidRPr="009971F6">
        <w:t>1</w:t>
      </w:r>
      <w:r w:rsidRPr="009971F6">
        <w:t>º da Lei Complementar n</w:t>
      </w:r>
      <w:r w:rsidR="00571008" w:rsidRPr="009971F6">
        <w:rPr>
          <w:color w:val="080808"/>
          <w:shd w:val="clear" w:color="auto" w:fill="FFFFFF"/>
        </w:rPr>
        <w:t>.</w:t>
      </w:r>
      <w:r w:rsidR="00FD1BD9" w:rsidRPr="009971F6">
        <w:rPr>
          <w:color w:val="080808"/>
          <w:shd w:val="clear" w:color="auto" w:fill="FFFFFF"/>
        </w:rPr>
        <w:t xml:space="preserve"> </w:t>
      </w:r>
      <w:r w:rsidRPr="009971F6">
        <w:t xml:space="preserve">124 de </w:t>
      </w:r>
      <w:r w:rsidR="007C23DA" w:rsidRPr="009971F6">
        <w:t>03 de janeiro de 2007 (B</w:t>
      </w:r>
      <w:r w:rsidR="004A596E" w:rsidRPr="009971F6">
        <w:t>RASIL</w:t>
      </w:r>
      <w:r w:rsidR="007C23DA" w:rsidRPr="009971F6">
        <w:t>, 2007)</w:t>
      </w:r>
      <w:r w:rsidRPr="009971F6">
        <w:t xml:space="preserve"> com o intuito de promover o desenvolvimento econômico e ambiental da Amazônia e integrá-lo a base produtiva econômica nacional. A área inclui os estados do Acre, Amapá, Amazonas, Pará, Rondônia, Roraima, Tocantins, e Mato Grosso, além de partes do Maranhão. O Território </w:t>
      </w:r>
      <w:r w:rsidR="002260F5" w:rsidRPr="009971F6">
        <w:t>inclui</w:t>
      </w:r>
      <w:r w:rsidRPr="009971F6">
        <w:t xml:space="preserve"> cerca de 59% da área terrestre total do Brasil, </w:t>
      </w:r>
      <w:r w:rsidR="007523AE" w:rsidRPr="009971F6">
        <w:t xml:space="preserve">englobando além de </w:t>
      </w:r>
      <w:r w:rsidRPr="009971F6">
        <w:t xml:space="preserve">trechos do bioma </w:t>
      </w:r>
      <w:r w:rsidR="004E5746" w:rsidRPr="009971F6">
        <w:t>Amazônico</w:t>
      </w:r>
      <w:r w:rsidRPr="009971F6">
        <w:t xml:space="preserve">, </w:t>
      </w:r>
      <w:r w:rsidR="007523AE" w:rsidRPr="009971F6">
        <w:t>áreas de transição com outros biomas</w:t>
      </w:r>
      <w:r w:rsidRPr="009971F6">
        <w:t xml:space="preserve"> (</w:t>
      </w:r>
      <w:r w:rsidR="004A596E" w:rsidRPr="009971F6">
        <w:t>BRASIL</w:t>
      </w:r>
      <w:r w:rsidRPr="009971F6">
        <w:t>, 202</w:t>
      </w:r>
      <w:r w:rsidR="006B19D8" w:rsidRPr="009971F6">
        <w:t>3</w:t>
      </w:r>
      <w:r w:rsidRPr="009971F6">
        <w:t>)</w:t>
      </w:r>
      <w:r w:rsidR="00EA1562" w:rsidRPr="009971F6">
        <w:t>.</w:t>
      </w:r>
    </w:p>
    <w:p w14:paraId="0E4BDA10" w14:textId="77777777" w:rsidR="00F12558" w:rsidRPr="009971F6" w:rsidRDefault="00F12558" w:rsidP="00D3677A">
      <w:pPr>
        <w:spacing w:line="360" w:lineRule="auto"/>
        <w:ind w:firstLine="567"/>
        <w:jc w:val="both"/>
      </w:pPr>
    </w:p>
    <w:p w14:paraId="0EF96165" w14:textId="3C196B59" w:rsidR="00F12558" w:rsidRPr="009971F6" w:rsidRDefault="00F12558" w:rsidP="00D3677A">
      <w:pPr>
        <w:spacing w:line="360" w:lineRule="auto"/>
        <w:rPr>
          <w:bCs/>
        </w:rPr>
      </w:pPr>
      <w:bookmarkStart w:id="1" w:name="_Hlk130216484"/>
      <w:r w:rsidRPr="009971F6">
        <w:rPr>
          <w:b/>
        </w:rPr>
        <w:t>Figura 1</w:t>
      </w:r>
      <w:r w:rsidR="006F0E38" w:rsidRPr="009971F6">
        <w:rPr>
          <w:b/>
        </w:rPr>
        <w:t>.</w:t>
      </w:r>
      <w:r w:rsidRPr="009971F6">
        <w:rPr>
          <w:bCs/>
        </w:rPr>
        <w:t xml:space="preserve"> Amazônia Legal - 2021</w:t>
      </w:r>
    </w:p>
    <w:bookmarkEnd w:id="1"/>
    <w:p w14:paraId="101A2168" w14:textId="1A3D5E2A" w:rsidR="00C02351" w:rsidRPr="009971F6" w:rsidRDefault="005D394A" w:rsidP="00D3677A">
      <w:pPr>
        <w:spacing w:line="360" w:lineRule="auto"/>
      </w:pPr>
      <w:r w:rsidRPr="009971F6">
        <w:rPr>
          <w:noProof/>
        </w:rPr>
        <w:drawing>
          <wp:inline distT="0" distB="0" distL="0" distR="0" wp14:anchorId="09AF96AF" wp14:editId="6312DAD5">
            <wp:extent cx="5762625" cy="4057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4057650"/>
                    </a:xfrm>
                    <a:prstGeom prst="rect">
                      <a:avLst/>
                    </a:prstGeom>
                    <a:noFill/>
                    <a:ln>
                      <a:noFill/>
                    </a:ln>
                  </pic:spPr>
                </pic:pic>
              </a:graphicData>
            </a:graphic>
          </wp:inline>
        </w:drawing>
      </w:r>
      <w:r w:rsidR="00F12558" w:rsidRPr="009971F6">
        <w:rPr>
          <w:noProof/>
          <w:sz w:val="22"/>
          <w:szCs w:val="22"/>
        </w:rPr>
        <w:t>Fonte: IBGE</w:t>
      </w:r>
      <w:r w:rsidR="00D71FBC" w:rsidRPr="009971F6">
        <w:rPr>
          <w:noProof/>
          <w:sz w:val="22"/>
          <w:szCs w:val="22"/>
        </w:rPr>
        <w:t xml:space="preserve"> (</w:t>
      </w:r>
      <w:r w:rsidR="007B5408" w:rsidRPr="009971F6">
        <w:rPr>
          <w:noProof/>
          <w:sz w:val="22"/>
          <w:szCs w:val="22"/>
        </w:rPr>
        <w:t>2021</w:t>
      </w:r>
      <w:r w:rsidR="00D71FBC" w:rsidRPr="009971F6">
        <w:rPr>
          <w:noProof/>
          <w:sz w:val="22"/>
          <w:szCs w:val="22"/>
        </w:rPr>
        <w:t>)</w:t>
      </w:r>
      <w:r w:rsidR="000C1E24" w:rsidRPr="009971F6">
        <w:rPr>
          <w:noProof/>
          <w:sz w:val="22"/>
          <w:szCs w:val="22"/>
        </w:rPr>
        <w:t>.</w:t>
      </w:r>
    </w:p>
    <w:p w14:paraId="558051B8" w14:textId="77777777" w:rsidR="00C02351" w:rsidRPr="009971F6" w:rsidRDefault="00C02351" w:rsidP="00D3677A">
      <w:pPr>
        <w:spacing w:line="360" w:lineRule="auto"/>
        <w:jc w:val="center"/>
      </w:pPr>
    </w:p>
    <w:p w14:paraId="36CBEFDD" w14:textId="0E77B1A6" w:rsidR="0052782D" w:rsidRPr="009971F6" w:rsidRDefault="00C450B3" w:rsidP="00D3677A">
      <w:pPr>
        <w:spacing w:line="360" w:lineRule="auto"/>
        <w:ind w:firstLine="709"/>
        <w:jc w:val="both"/>
      </w:pPr>
      <w:r w:rsidRPr="009971F6">
        <w:t xml:space="preserve">A redução da cobertura vegetal é um processo ligado </w:t>
      </w:r>
      <w:r w:rsidR="006F0E38" w:rsidRPr="009971F6">
        <w:t>à</w:t>
      </w:r>
      <w:r w:rsidRPr="009971F6">
        <w:t xml:space="preserve"> expansão </w:t>
      </w:r>
      <w:r w:rsidR="00D07283" w:rsidRPr="009971F6">
        <w:t>urbana</w:t>
      </w:r>
      <w:r w:rsidR="006F0E38" w:rsidRPr="009971F6">
        <w:t>.</w:t>
      </w:r>
      <w:r w:rsidRPr="009971F6">
        <w:t xml:space="preserve"> A </w:t>
      </w:r>
      <w:r w:rsidR="00A323AE" w:rsidRPr="009971F6">
        <w:t xml:space="preserve">criação de assentamentos é uma atividade que demanda recursos provenientes das florestas, como </w:t>
      </w:r>
      <w:r w:rsidR="00A323AE" w:rsidRPr="009971F6">
        <w:lastRenderedPageBreak/>
        <w:t xml:space="preserve">madeira, e </w:t>
      </w:r>
      <w:r w:rsidR="00310BB7" w:rsidRPr="009971F6">
        <w:t xml:space="preserve">a </w:t>
      </w:r>
      <w:r w:rsidR="006F0E38" w:rsidRPr="009971F6">
        <w:t>conversão</w:t>
      </w:r>
      <w:r w:rsidR="00310BB7" w:rsidRPr="009971F6">
        <w:t xml:space="preserve"> d</w:t>
      </w:r>
      <w:r w:rsidR="00A323AE" w:rsidRPr="009971F6">
        <w:t>o espaço geográfico ocupado</w:t>
      </w:r>
      <w:r w:rsidR="006E61EA" w:rsidRPr="009971F6">
        <w:t xml:space="preserve"> originalmente</w:t>
      </w:r>
      <w:r w:rsidR="00A323AE" w:rsidRPr="009971F6">
        <w:t xml:space="preserve"> </w:t>
      </w:r>
      <w:r w:rsidR="00310BB7" w:rsidRPr="009971F6">
        <w:t>pela</w:t>
      </w:r>
      <w:r w:rsidR="00A323AE" w:rsidRPr="009971F6">
        <w:t xml:space="preserve"> cobertura vegetal. </w:t>
      </w:r>
      <w:r w:rsidR="00BE7FDE" w:rsidRPr="009971F6">
        <w:t xml:space="preserve">Desta forma, países em desenvolvimento apresentariam </w:t>
      </w:r>
      <w:r w:rsidR="00440548" w:rsidRPr="009971F6">
        <w:t>elevadas</w:t>
      </w:r>
      <w:r w:rsidR="00BE7FDE" w:rsidRPr="009971F6">
        <w:t xml:space="preserve"> taxas de desmatamento devido </w:t>
      </w:r>
      <w:r w:rsidR="00310BB7" w:rsidRPr="009971F6">
        <w:t>à</w:t>
      </w:r>
      <w:r w:rsidR="00BE7FDE" w:rsidRPr="009971F6">
        <w:t xml:space="preserve"> expansão de áreas agrícolas e assentamento</w:t>
      </w:r>
      <w:r w:rsidR="0041406F" w:rsidRPr="009971F6">
        <w:t>s</w:t>
      </w:r>
      <w:r w:rsidR="00BE7FDE" w:rsidRPr="009971F6">
        <w:t xml:space="preserve"> sobre suas florestas</w:t>
      </w:r>
      <w:r w:rsidR="00096094" w:rsidRPr="009971F6">
        <w:t xml:space="preserve"> (</w:t>
      </w:r>
      <w:r w:rsidR="006F0E38" w:rsidRPr="009971F6">
        <w:t>MATHER, 1992</w:t>
      </w:r>
      <w:r w:rsidR="00096094" w:rsidRPr="009971F6">
        <w:t>)</w:t>
      </w:r>
      <w:r w:rsidR="00BE7FDE" w:rsidRPr="009971F6">
        <w:t>.</w:t>
      </w:r>
    </w:p>
    <w:p w14:paraId="48BDB9F7" w14:textId="1F4E3233" w:rsidR="001E2107" w:rsidRPr="009971F6" w:rsidRDefault="000C0468" w:rsidP="00D3677A">
      <w:pPr>
        <w:spacing w:line="360" w:lineRule="auto"/>
        <w:ind w:firstLine="709"/>
        <w:jc w:val="both"/>
      </w:pPr>
      <w:r w:rsidRPr="009971F6">
        <w:t>Para reduzir as taxas de desmatamento</w:t>
      </w:r>
      <w:r w:rsidR="0041406F" w:rsidRPr="009971F6">
        <w:t xml:space="preserve"> na Amaz</w:t>
      </w:r>
      <w:r w:rsidR="001E2107" w:rsidRPr="009971F6">
        <w:t>ô</w:t>
      </w:r>
      <w:r w:rsidR="0041406F" w:rsidRPr="009971F6">
        <w:t>nia</w:t>
      </w:r>
      <w:r w:rsidRPr="009971F6">
        <w:t>, foram criadas diversas políticas e leis de combate ao desmatamento, como o Plano de Ação para a Prevenção e o Controle do Desmatamento da Amazônia legal (PPCDAm)</w:t>
      </w:r>
      <w:r w:rsidR="00BC67E2" w:rsidRPr="009971F6">
        <w:t>, criado em 2004</w:t>
      </w:r>
      <w:r w:rsidR="001F5037" w:rsidRPr="009971F6">
        <w:t xml:space="preserve"> (</w:t>
      </w:r>
      <w:r w:rsidR="006871E7" w:rsidRPr="009971F6">
        <w:t>BRASIL</w:t>
      </w:r>
      <w:r w:rsidR="001F5037" w:rsidRPr="009971F6">
        <w:t>, 20</w:t>
      </w:r>
      <w:r w:rsidR="0041731D" w:rsidRPr="009971F6">
        <w:t>22</w:t>
      </w:r>
      <w:r w:rsidR="001F5037" w:rsidRPr="009971F6">
        <w:t>)</w:t>
      </w:r>
      <w:r w:rsidR="00BC67E2" w:rsidRPr="009971F6">
        <w:t xml:space="preserve">, </w:t>
      </w:r>
      <w:r w:rsidRPr="009971F6">
        <w:t>e o Projeto de Monitoramento do Desmatamento na Amazônia Legal por Satélite (PRODES)</w:t>
      </w:r>
      <w:r w:rsidR="00BC67E2" w:rsidRPr="009971F6">
        <w:t>, criado em 1988</w:t>
      </w:r>
      <w:r w:rsidR="001F5037" w:rsidRPr="009971F6">
        <w:t xml:space="preserve"> (INPE,</w:t>
      </w:r>
      <w:r w:rsidR="007E2FA8" w:rsidRPr="009971F6">
        <w:t xml:space="preserve"> </w:t>
      </w:r>
      <w:r w:rsidR="001F5037" w:rsidRPr="009971F6">
        <w:t>2022). Ademais, acordos de responsabilidade econômico-ambiental foram criados de forma a combater o desmatamento, sendo um dos principais a Moratória da Soja. O acordo criado em 2006, entre produtores, ONGs e o próprio governo, tinha como mastro a proibição da compra de Soja proveniente de áreas recém desmatadas</w:t>
      </w:r>
      <w:r w:rsidR="007E2FA8" w:rsidRPr="009971F6">
        <w:t xml:space="preserve"> (GIBBS</w:t>
      </w:r>
      <w:r w:rsidR="0041731D" w:rsidRPr="009971F6">
        <w:t xml:space="preserve"> </w:t>
      </w:r>
      <w:r w:rsidR="0041731D" w:rsidRPr="009971F6">
        <w:rPr>
          <w:i/>
          <w:iCs/>
        </w:rPr>
        <w:t>et al</w:t>
      </w:r>
      <w:r w:rsidR="00E659C9" w:rsidRPr="009971F6">
        <w:rPr>
          <w:i/>
          <w:iCs/>
        </w:rPr>
        <w:t>.</w:t>
      </w:r>
      <w:r w:rsidR="007E2FA8" w:rsidRPr="009971F6">
        <w:t>, 2015)</w:t>
      </w:r>
      <w:r w:rsidR="001F5037" w:rsidRPr="009971F6">
        <w:t xml:space="preserve">. </w:t>
      </w:r>
      <w:r w:rsidRPr="009971F6">
        <w:t xml:space="preserve"> </w:t>
      </w:r>
    </w:p>
    <w:p w14:paraId="319419EA" w14:textId="0CA040F5" w:rsidR="00581B16" w:rsidRPr="009971F6" w:rsidRDefault="004E2D25" w:rsidP="00D3677A">
      <w:pPr>
        <w:spacing w:line="360" w:lineRule="auto"/>
        <w:ind w:firstLine="709"/>
        <w:jc w:val="both"/>
      </w:pPr>
      <w:r w:rsidRPr="009971F6">
        <w:t>A partir de 2010</w:t>
      </w:r>
      <w:r w:rsidR="0052782D" w:rsidRPr="009971F6">
        <w:t>, pode-se perceber uma tendência de redução do desmatamento entre os países em desenvolvimento com áreas de florestas tropicais (</w:t>
      </w:r>
      <w:r w:rsidR="007E2FA8" w:rsidRPr="009971F6">
        <w:t>CALABONI, 2017</w:t>
      </w:r>
      <w:r w:rsidR="0052782D" w:rsidRPr="009971F6">
        <w:t xml:space="preserve">). Tal situação pode ser observada </w:t>
      </w:r>
      <w:r w:rsidR="0019141C" w:rsidRPr="009971F6">
        <w:t>n</w:t>
      </w:r>
      <w:r w:rsidR="00967913" w:rsidRPr="009971F6">
        <w:t>a</w:t>
      </w:r>
      <w:r w:rsidR="0052782D" w:rsidRPr="009971F6">
        <w:t xml:space="preserve"> Amazônia em alguns estados brasileiros (</w:t>
      </w:r>
      <w:r w:rsidR="00323466" w:rsidRPr="009971F6">
        <w:t>INPE</w:t>
      </w:r>
      <w:r w:rsidR="007E2FA8" w:rsidRPr="009971F6">
        <w:t>, 2022</w:t>
      </w:r>
      <w:r w:rsidR="0052782D" w:rsidRPr="009971F6">
        <w:t>). Todavia, esta redução no desmatamento</w:t>
      </w:r>
      <w:r w:rsidR="00967913" w:rsidRPr="009971F6">
        <w:t xml:space="preserve">, mesmo quando </w:t>
      </w:r>
      <w:r w:rsidR="0052782D" w:rsidRPr="009971F6">
        <w:t>acompanhada pelo reflorestamento ou rejuvenescimento de matas nativas, resulta ainda em uma redução da cobertura vegetal</w:t>
      </w:r>
      <w:r w:rsidR="00967913" w:rsidRPr="009971F6">
        <w:t xml:space="preserve"> </w:t>
      </w:r>
      <w:r w:rsidR="002C72B4" w:rsidRPr="009971F6">
        <w:t>e/</w:t>
      </w:r>
      <w:r w:rsidR="00967913" w:rsidRPr="009971F6">
        <w:t>ou da biodiversidade do local</w:t>
      </w:r>
      <w:r w:rsidR="00581B16" w:rsidRPr="009971F6">
        <w:t xml:space="preserve"> </w:t>
      </w:r>
      <w:r w:rsidR="0052782D" w:rsidRPr="009971F6">
        <w:t>(</w:t>
      </w:r>
      <w:r w:rsidR="007E2FA8" w:rsidRPr="009971F6">
        <w:t>ROSA</w:t>
      </w:r>
      <w:r w:rsidR="00530555" w:rsidRPr="009971F6">
        <w:t xml:space="preserve"> </w:t>
      </w:r>
      <w:r w:rsidR="00530555" w:rsidRPr="009971F6">
        <w:rPr>
          <w:i/>
          <w:iCs/>
        </w:rPr>
        <w:t>et al.</w:t>
      </w:r>
      <w:r w:rsidR="007E2FA8" w:rsidRPr="009971F6">
        <w:t>, 2021</w:t>
      </w:r>
      <w:r w:rsidR="0052782D" w:rsidRPr="009971F6">
        <w:t>)</w:t>
      </w:r>
      <w:r w:rsidR="00581B16" w:rsidRPr="009971F6">
        <w:t>.</w:t>
      </w:r>
      <w:r w:rsidR="00967913" w:rsidRPr="009971F6">
        <w:t xml:space="preserve"> </w:t>
      </w:r>
    </w:p>
    <w:p w14:paraId="19B2F00A" w14:textId="314139DC" w:rsidR="00C5169D" w:rsidRPr="009971F6" w:rsidRDefault="00C11676" w:rsidP="00D3677A">
      <w:pPr>
        <w:spacing w:line="360" w:lineRule="auto"/>
        <w:ind w:firstLine="709"/>
        <w:jc w:val="both"/>
      </w:pPr>
      <w:r w:rsidRPr="009971F6">
        <w:t>A</w:t>
      </w:r>
      <w:r w:rsidR="00096094" w:rsidRPr="009971F6">
        <w:t xml:space="preserve"> Teoria da Transição Florestal</w:t>
      </w:r>
      <w:r w:rsidR="0041406F" w:rsidRPr="009971F6">
        <w:t xml:space="preserve"> (TT</w:t>
      </w:r>
      <w:r w:rsidR="00A50A73" w:rsidRPr="009971F6">
        <w:t>F</w:t>
      </w:r>
      <w:r w:rsidR="0041406F" w:rsidRPr="009971F6">
        <w:t>)</w:t>
      </w:r>
      <w:r w:rsidRPr="009971F6">
        <w:t xml:space="preserve"> descreve a relação entre a cobertura vegetal, seja ela composta por florestas primárias, secundárias ou outros tipos de vegetação, e o desenvolvimento econômico, este geralmente medido pela renda </w:t>
      </w:r>
      <w:r w:rsidRPr="009971F6">
        <w:rPr>
          <w:i/>
          <w:iCs/>
        </w:rPr>
        <w:t>per cap</w:t>
      </w:r>
      <w:r w:rsidR="00C44FB0" w:rsidRPr="009971F6">
        <w:rPr>
          <w:i/>
          <w:iCs/>
        </w:rPr>
        <w:t>i</w:t>
      </w:r>
      <w:r w:rsidRPr="009971F6">
        <w:rPr>
          <w:i/>
          <w:iCs/>
        </w:rPr>
        <w:t>ta</w:t>
      </w:r>
      <w:r w:rsidRPr="009971F6">
        <w:t xml:space="preserve"> de uma região. </w:t>
      </w:r>
      <w:r w:rsidR="00BA6E2C" w:rsidRPr="009971F6">
        <w:t xml:space="preserve">Após determinado período de degradação florestal haveria </w:t>
      </w:r>
      <w:r w:rsidR="00581B16" w:rsidRPr="009971F6">
        <w:t>um momento</w:t>
      </w:r>
      <w:r w:rsidR="00BA6E2C" w:rsidRPr="009971F6">
        <w:t xml:space="preserve"> de transição no qual as taxas de desmatamento seriam superadas pelos ganhos de área florestal, resultando em ganhos líquidos de cobertura vegetal</w:t>
      </w:r>
      <w:r w:rsidR="005A6A21" w:rsidRPr="009971F6">
        <w:t xml:space="preserve"> (</w:t>
      </w:r>
      <w:r w:rsidR="007E2FA8" w:rsidRPr="009971F6">
        <w:t>SARAIVA</w:t>
      </w:r>
      <w:r w:rsidR="00D71FBC" w:rsidRPr="009971F6">
        <w:t xml:space="preserve">, </w:t>
      </w:r>
      <w:r w:rsidR="007E2FA8" w:rsidRPr="009971F6">
        <w:t>2017</w:t>
      </w:r>
      <w:r w:rsidR="005A6A21" w:rsidRPr="009971F6">
        <w:t>)</w:t>
      </w:r>
      <w:r w:rsidR="00BA6E2C" w:rsidRPr="009971F6">
        <w:t>.</w:t>
      </w:r>
    </w:p>
    <w:p w14:paraId="00AF74CC" w14:textId="77777777" w:rsidR="00A309C1" w:rsidRPr="009971F6" w:rsidRDefault="00BA6E2C" w:rsidP="00D3677A">
      <w:pPr>
        <w:spacing w:line="360" w:lineRule="auto"/>
        <w:ind w:firstLine="709"/>
        <w:jc w:val="both"/>
        <w:rPr>
          <w:color w:val="C00000"/>
        </w:rPr>
      </w:pPr>
      <w:r w:rsidRPr="009971F6">
        <w:t xml:space="preserve">Este processo é </w:t>
      </w:r>
      <w:r w:rsidR="00581B16" w:rsidRPr="009971F6">
        <w:t xml:space="preserve">descrito através de </w:t>
      </w:r>
      <w:r w:rsidRPr="009971F6">
        <w:t xml:space="preserve">quatro fases principais que estão </w:t>
      </w:r>
      <w:r w:rsidR="00A309C1" w:rsidRPr="009971F6">
        <w:t>intrinsicamente ligadas</w:t>
      </w:r>
      <w:r w:rsidRPr="009971F6">
        <w:t xml:space="preserve"> ao </w:t>
      </w:r>
      <w:r w:rsidR="00581B16" w:rsidRPr="009971F6">
        <w:t>estágio</w:t>
      </w:r>
      <w:r w:rsidRPr="009971F6">
        <w:t xml:space="preserve"> de desenvolvimento econômico da região</w:t>
      </w:r>
      <w:r w:rsidR="007E2FA8" w:rsidRPr="009971F6">
        <w:t xml:space="preserve">. </w:t>
      </w:r>
      <w:r w:rsidR="00581B16" w:rsidRPr="009971F6">
        <w:t xml:space="preserve">Inicialmente, </w:t>
      </w:r>
      <w:r w:rsidR="00C11CF5" w:rsidRPr="009971F6">
        <w:t xml:space="preserve">na fase I, </w:t>
      </w:r>
      <w:r w:rsidR="00581B16" w:rsidRPr="009971F6">
        <w:t>tem-se florestas intactas com baixas taxas de desmatamento, pois ainda não há atividade econômica desenvolvida na</w:t>
      </w:r>
      <w:r w:rsidR="00440548" w:rsidRPr="009971F6">
        <w:t>quela</w:t>
      </w:r>
      <w:r w:rsidR="00581B16" w:rsidRPr="009971F6">
        <w:t xml:space="preserve"> região.</w:t>
      </w:r>
      <w:r w:rsidR="00C11CF5" w:rsidRPr="009971F6">
        <w:t xml:space="preserve"> Na fase II </w:t>
      </w:r>
      <w:r w:rsidR="00581B16" w:rsidRPr="009971F6">
        <w:t>tem-se a expansão das atividades agrícolas e com elas elevadas taxas de desmatamento para suprir a necessidade por recursos</w:t>
      </w:r>
      <w:r w:rsidR="00310BB7" w:rsidRPr="009971F6">
        <w:t xml:space="preserve"> naturais</w:t>
      </w:r>
      <w:r w:rsidR="00581B16" w:rsidRPr="009971F6">
        <w:t xml:space="preserve"> e espaço. </w:t>
      </w:r>
      <w:r w:rsidR="00C11CF5" w:rsidRPr="009971F6">
        <w:t>Na fase III, c</w:t>
      </w:r>
      <w:r w:rsidR="00581B16" w:rsidRPr="009971F6">
        <w:t>om a redução das áreas florestais</w:t>
      </w:r>
      <w:r w:rsidR="00440548" w:rsidRPr="009971F6">
        <w:t xml:space="preserve"> e a consolidação da agricultura</w:t>
      </w:r>
      <w:r w:rsidR="00581B16" w:rsidRPr="009971F6">
        <w:t>, ocorre uma estabilização do desmatamento. Por fim</w:t>
      </w:r>
      <w:r w:rsidR="00A309C1" w:rsidRPr="009971F6">
        <w:t xml:space="preserve">, </w:t>
      </w:r>
      <w:r w:rsidR="00C11CF5" w:rsidRPr="009971F6">
        <w:t xml:space="preserve">na fase IV, espera-se que </w:t>
      </w:r>
      <w:r w:rsidR="00A309C1" w:rsidRPr="009971F6">
        <w:t xml:space="preserve">mudanças </w:t>
      </w:r>
      <w:r w:rsidR="00C11CF5" w:rsidRPr="009971F6">
        <w:t xml:space="preserve">no </w:t>
      </w:r>
      <w:r w:rsidR="00A309C1" w:rsidRPr="009971F6">
        <w:t xml:space="preserve">contexto político, no modelo produtivo e </w:t>
      </w:r>
      <w:r w:rsidR="00C11CF5" w:rsidRPr="009971F6">
        <w:t>sociais</w:t>
      </w:r>
      <w:r w:rsidR="00A309C1" w:rsidRPr="009971F6">
        <w:t xml:space="preserve"> foment</w:t>
      </w:r>
      <w:r w:rsidR="00C11CF5" w:rsidRPr="009971F6">
        <w:t>e</w:t>
      </w:r>
      <w:r w:rsidR="00A309C1" w:rsidRPr="009971F6">
        <w:t>m a regeneração da</w:t>
      </w:r>
      <w:r w:rsidR="006E61EA" w:rsidRPr="009971F6">
        <w:t xml:space="preserve">s florestas </w:t>
      </w:r>
      <w:r w:rsidR="00A309C1" w:rsidRPr="009971F6">
        <w:t>e a diminuição do</w:t>
      </w:r>
      <w:r w:rsidR="006E61EA" w:rsidRPr="009971F6">
        <w:t xml:space="preserve"> </w:t>
      </w:r>
      <w:r w:rsidR="00440548" w:rsidRPr="009971F6">
        <w:t>desmatamento, podendo resultar em ganhos líquidos de vegetação.</w:t>
      </w:r>
      <w:r w:rsidR="005A6A21" w:rsidRPr="009971F6">
        <w:t xml:space="preserve"> (ANGELSEN</w:t>
      </w:r>
      <w:r w:rsidR="008067B9" w:rsidRPr="009971F6">
        <w:t xml:space="preserve">, </w:t>
      </w:r>
      <w:r w:rsidR="007E2FA8" w:rsidRPr="009971F6">
        <w:t>2007</w:t>
      </w:r>
      <w:r w:rsidR="005A6A21" w:rsidRPr="009971F6">
        <w:t>).</w:t>
      </w:r>
      <w:r w:rsidR="003D1D58" w:rsidRPr="009971F6">
        <w:t xml:space="preserve"> </w:t>
      </w:r>
      <w:r w:rsidR="000959CE" w:rsidRPr="009971F6" w:rsidDel="000959CE">
        <w:rPr>
          <w:color w:val="C00000"/>
        </w:rPr>
        <w:t xml:space="preserve"> </w:t>
      </w:r>
    </w:p>
    <w:p w14:paraId="45437106" w14:textId="0EC61AB5" w:rsidR="003622DE" w:rsidRPr="009971F6" w:rsidRDefault="0067154A" w:rsidP="00D3677A">
      <w:pPr>
        <w:spacing w:line="360" w:lineRule="auto"/>
        <w:ind w:firstLine="709"/>
        <w:jc w:val="both"/>
      </w:pPr>
      <w:r w:rsidRPr="009971F6">
        <w:lastRenderedPageBreak/>
        <w:t>O uso da terra e de recursos</w:t>
      </w:r>
      <w:r w:rsidR="003D1D58" w:rsidRPr="009971F6">
        <w:t xml:space="preserve"> florestais dependem de uma variedade de fatores</w:t>
      </w:r>
      <w:r w:rsidR="004A492C" w:rsidRPr="009971F6">
        <w:t>. Estes</w:t>
      </w:r>
      <w:r w:rsidR="003D1D58" w:rsidRPr="009971F6">
        <w:t xml:space="preserve"> incluem a demanda </w:t>
      </w:r>
      <w:r w:rsidR="004A492C" w:rsidRPr="009971F6">
        <w:t>pelos recursos</w:t>
      </w:r>
      <w:r w:rsidRPr="009971F6">
        <w:t xml:space="preserve"> em </w:t>
      </w:r>
      <w:r w:rsidR="00A25D63" w:rsidRPr="009971F6">
        <w:t>si, a</w:t>
      </w:r>
      <w:r w:rsidRPr="009971F6">
        <w:t xml:space="preserve"> urbanização, modernização agrícola</w:t>
      </w:r>
      <w:r w:rsidR="003D1D58" w:rsidRPr="009971F6">
        <w:t>, o</w:t>
      </w:r>
      <w:r w:rsidR="004A492C" w:rsidRPr="009971F6">
        <w:t xml:space="preserve">s custos relacionados a </w:t>
      </w:r>
      <w:r w:rsidRPr="009971F6">
        <w:t>sua extração e</w:t>
      </w:r>
      <w:r w:rsidR="004A492C" w:rsidRPr="009971F6">
        <w:t xml:space="preserve"> as políticas governamentais vigentes</w:t>
      </w:r>
      <w:r w:rsidRPr="009971F6">
        <w:t xml:space="preserve"> </w:t>
      </w:r>
      <w:r w:rsidR="004A492C" w:rsidRPr="009971F6">
        <w:t>(</w:t>
      </w:r>
      <w:r w:rsidR="000959CE" w:rsidRPr="009971F6">
        <w:t>BARBIER</w:t>
      </w:r>
      <w:r w:rsidR="00DA2BFD" w:rsidRPr="009971F6">
        <w:rPr>
          <w:i/>
          <w:iCs/>
        </w:rPr>
        <w:t xml:space="preserve"> et al</w:t>
      </w:r>
      <w:r w:rsidR="004B6827" w:rsidRPr="009971F6">
        <w:rPr>
          <w:i/>
          <w:iCs/>
        </w:rPr>
        <w:t>.</w:t>
      </w:r>
      <w:r w:rsidR="000959CE" w:rsidRPr="009971F6">
        <w:t xml:space="preserve">, 2010). </w:t>
      </w:r>
      <w:r w:rsidRPr="009971F6">
        <w:t xml:space="preserve">A distância aos principais centros urbanos também é fator determinante na </w:t>
      </w:r>
      <w:r w:rsidR="00992300" w:rsidRPr="009971F6">
        <w:t>a</w:t>
      </w:r>
      <w:r w:rsidR="004C263B" w:rsidRPr="009971F6">
        <w:t>locação de</w:t>
      </w:r>
      <w:r w:rsidRPr="009971F6">
        <w:t xml:space="preserve"> terra</w:t>
      </w:r>
      <w:r w:rsidR="004C263B" w:rsidRPr="009971F6">
        <w:t>s para diferentes finalidades</w:t>
      </w:r>
      <w:r w:rsidR="00A25D63" w:rsidRPr="009971F6">
        <w:t xml:space="preserve"> (</w:t>
      </w:r>
      <w:r w:rsidR="0042069A" w:rsidRPr="009971F6">
        <w:t>SULLIVAN, 201</w:t>
      </w:r>
      <w:r w:rsidR="005946D4" w:rsidRPr="009971F6">
        <w:t>2</w:t>
      </w:r>
      <w:r w:rsidR="00A25D63" w:rsidRPr="009971F6">
        <w:t>)</w:t>
      </w:r>
      <w:r w:rsidR="003622DE" w:rsidRPr="009971F6">
        <w:t>. Neste contexto, é crucial levar em conta como a escassez de recursos florestais afeta o valor da terra e, por consequência, as atividades realizadas nela. Isso pode limitar ou permitir a alocação de áreas para a preservação e reflorestamento, bem como influenciar a incidência de desmatamento, especialmente em áreas próximas a centros urbanos ou em zonas de expansão agrícola onde os valores da terra são elevados (HYDE, 2017).</w:t>
      </w:r>
    </w:p>
    <w:p w14:paraId="0282A80F" w14:textId="77777777" w:rsidR="00C02351" w:rsidRPr="009971F6" w:rsidRDefault="00C02351" w:rsidP="00D3677A">
      <w:pPr>
        <w:spacing w:line="360" w:lineRule="auto"/>
        <w:ind w:firstLine="709"/>
        <w:jc w:val="both"/>
      </w:pPr>
      <w:r w:rsidRPr="009971F6">
        <w:t xml:space="preserve">Cabe destacar que apesar da relevância do tema, poucos estudos se dedicaram a avaliar empiricamente a existência de uma relação entre a TTF e a dinâmica de desmatamento na Amazônia Legal brasileira. Além disto, até onde se sabe, os poucos estudos dedicados ao assunto existentes na literatura utilizaram dados menos atualizados do que os empregados na análise aqui proposta.  </w:t>
      </w:r>
    </w:p>
    <w:p w14:paraId="69760676" w14:textId="756DAAE9" w:rsidR="00041E89" w:rsidRPr="009971F6" w:rsidRDefault="00C02351" w:rsidP="00D3677A">
      <w:pPr>
        <w:spacing w:line="360" w:lineRule="auto"/>
        <w:ind w:firstLine="709"/>
        <w:jc w:val="both"/>
      </w:pPr>
      <w:r w:rsidRPr="009971F6">
        <w:t>A</w:t>
      </w:r>
      <w:r w:rsidR="00041E89" w:rsidRPr="009971F6">
        <w:t xml:space="preserve">utores como Saraiva (2017) e Saraiva </w:t>
      </w:r>
      <w:r w:rsidR="00041E89" w:rsidRPr="009971F6">
        <w:rPr>
          <w:i/>
          <w:iCs/>
        </w:rPr>
        <w:t>et al</w:t>
      </w:r>
      <w:r w:rsidRPr="009971F6">
        <w:rPr>
          <w:i/>
          <w:iCs/>
        </w:rPr>
        <w:t>.</w:t>
      </w:r>
      <w:r w:rsidR="00041E89" w:rsidRPr="009971F6">
        <w:t xml:space="preserve"> (2020) explor</w:t>
      </w:r>
      <w:r w:rsidRPr="009971F6">
        <w:t>a</w:t>
      </w:r>
      <w:r w:rsidR="0042655E" w:rsidRPr="009971F6">
        <w:t>m</w:t>
      </w:r>
      <w:r w:rsidR="00041E89" w:rsidRPr="009971F6">
        <w:t xml:space="preserve"> </w:t>
      </w:r>
      <w:r w:rsidRPr="009971F6">
        <w:t>a influência de</w:t>
      </w:r>
      <w:r w:rsidR="00041E89" w:rsidRPr="009971F6">
        <w:t xml:space="preserve"> políticas públicas </w:t>
      </w:r>
      <w:r w:rsidRPr="009971F6">
        <w:t>e</w:t>
      </w:r>
      <w:r w:rsidR="00041E89" w:rsidRPr="009971F6">
        <w:t xml:space="preserve"> </w:t>
      </w:r>
      <w:r w:rsidRPr="009971F6">
        <w:t>d</w:t>
      </w:r>
      <w:r w:rsidR="00041E89" w:rsidRPr="009971F6">
        <w:t xml:space="preserve">o desenvolvimento econômico </w:t>
      </w:r>
      <w:r w:rsidRPr="009971F6">
        <w:t xml:space="preserve">nas </w:t>
      </w:r>
      <w:r w:rsidR="00041E89" w:rsidRPr="009971F6">
        <w:t xml:space="preserve">florestas secundárias e </w:t>
      </w:r>
      <w:r w:rsidRPr="009971F6">
        <w:t>n</w:t>
      </w:r>
      <w:r w:rsidR="00041E89" w:rsidRPr="009971F6">
        <w:t>o desmatamento no bioma</w:t>
      </w:r>
      <w:r w:rsidRPr="009971F6">
        <w:t xml:space="preserve"> Amazônico, utilizando modelos estimados através do método de dados em painéis. Ambos os trabalhos utiliza</w:t>
      </w:r>
      <w:r w:rsidR="0042655E" w:rsidRPr="009971F6">
        <w:t>m</w:t>
      </w:r>
      <w:r w:rsidRPr="009971F6">
        <w:t xml:space="preserve"> como fonte a plataforma TerraClass </w:t>
      </w:r>
      <w:r w:rsidR="006C111B" w:rsidRPr="009971F6">
        <w:t>(INPE</w:t>
      </w:r>
      <w:r w:rsidR="00C4639A" w:rsidRPr="009971F6">
        <w:t>, 2023</w:t>
      </w:r>
      <w:r w:rsidR="00D653DA" w:rsidRPr="009971F6">
        <w:t>a</w:t>
      </w:r>
      <w:r w:rsidR="006C111B" w:rsidRPr="009971F6">
        <w:t xml:space="preserve">) </w:t>
      </w:r>
      <w:r w:rsidRPr="009971F6">
        <w:t xml:space="preserve">para o desmatamento e a área de vegetação secundária, analisando até o ano de 2014.  </w:t>
      </w:r>
    </w:p>
    <w:p w14:paraId="6BE6541E" w14:textId="32A2CBB9" w:rsidR="00943268" w:rsidRPr="009971F6" w:rsidRDefault="00697983" w:rsidP="007D333B">
      <w:pPr>
        <w:spacing w:line="360" w:lineRule="auto"/>
        <w:ind w:firstLine="709"/>
        <w:jc w:val="both"/>
      </w:pPr>
      <w:r w:rsidRPr="009971F6">
        <w:t>Desta forma, o presente trabalho busca</w:t>
      </w:r>
      <w:r w:rsidR="004E5746" w:rsidRPr="009971F6">
        <w:t>rá</w:t>
      </w:r>
      <w:r w:rsidRPr="009971F6">
        <w:t xml:space="preserve"> </w:t>
      </w:r>
      <w:r w:rsidR="004E5746" w:rsidRPr="009971F6">
        <w:t xml:space="preserve">analisar </w:t>
      </w:r>
      <w:r w:rsidRPr="009971F6">
        <w:t>a evolução da cobertura vegetal na Amazônia Legal</w:t>
      </w:r>
      <w:r w:rsidR="004E5746" w:rsidRPr="009971F6">
        <w:t xml:space="preserve"> no período </w:t>
      </w:r>
      <w:r w:rsidR="004F06E3" w:rsidRPr="009971F6">
        <w:t xml:space="preserve">2005 </w:t>
      </w:r>
      <w:r w:rsidR="004E5746" w:rsidRPr="009971F6">
        <w:t xml:space="preserve">a </w:t>
      </w:r>
      <w:r w:rsidR="004F06E3" w:rsidRPr="009971F6">
        <w:t>2020</w:t>
      </w:r>
      <w:r w:rsidR="007B5408" w:rsidRPr="009971F6">
        <w:t xml:space="preserve">. </w:t>
      </w:r>
      <w:r w:rsidRPr="009971F6">
        <w:t xml:space="preserve">Para isso, </w:t>
      </w:r>
      <w:r w:rsidR="004E5746" w:rsidRPr="009971F6">
        <w:t xml:space="preserve">buscar-se-á </w:t>
      </w:r>
      <w:r w:rsidR="00C11CF5" w:rsidRPr="009971F6">
        <w:t>traça</w:t>
      </w:r>
      <w:r w:rsidR="004E5746" w:rsidRPr="009971F6">
        <w:t>r</w:t>
      </w:r>
      <w:r w:rsidR="00C11CF5" w:rsidRPr="009971F6">
        <w:t xml:space="preserve"> </w:t>
      </w:r>
      <w:r w:rsidRPr="009971F6">
        <w:t xml:space="preserve">uma </w:t>
      </w:r>
      <w:r w:rsidR="001F1BDB" w:rsidRPr="009971F6">
        <w:t>c</w:t>
      </w:r>
      <w:r w:rsidRPr="009971F6">
        <w:t xml:space="preserve">urva </w:t>
      </w:r>
      <w:r w:rsidR="00335034" w:rsidRPr="009971F6">
        <w:t xml:space="preserve">baseada na Teoria </w:t>
      </w:r>
      <w:r w:rsidRPr="009971F6">
        <w:t>d</w:t>
      </w:r>
      <w:r w:rsidR="00335034" w:rsidRPr="009971F6">
        <w:t>a</w:t>
      </w:r>
      <w:r w:rsidRPr="009971F6">
        <w:t xml:space="preserve"> Transição Florestal para a região </w:t>
      </w:r>
      <w:r w:rsidR="004E5746" w:rsidRPr="009971F6">
        <w:t>por meio de métodos econométricos</w:t>
      </w:r>
      <w:r w:rsidRPr="009971F6">
        <w:t xml:space="preserve"> de</w:t>
      </w:r>
      <w:r w:rsidR="007B5408" w:rsidRPr="009971F6">
        <w:t xml:space="preserve"> dados em painel</w:t>
      </w:r>
      <w:r w:rsidR="00E17CED" w:rsidRPr="009971F6">
        <w:t>,</w:t>
      </w:r>
      <w:r w:rsidR="00C02351" w:rsidRPr="009971F6">
        <w:t xml:space="preserve"> utilizando dados mais recentes do</w:t>
      </w:r>
      <w:r w:rsidR="00E17CED" w:rsidRPr="009971F6">
        <w:t xml:space="preserve"> que o</w:t>
      </w:r>
      <w:r w:rsidR="00C02351" w:rsidRPr="009971F6">
        <w:t xml:space="preserve">s </w:t>
      </w:r>
      <w:r w:rsidR="00E17CED" w:rsidRPr="009971F6">
        <w:t xml:space="preserve">empregados </w:t>
      </w:r>
      <w:r w:rsidR="007D333B" w:rsidRPr="009971F6">
        <w:t>em estudos prévios disponíveis</w:t>
      </w:r>
      <w:r w:rsidR="00C02351" w:rsidRPr="009971F6">
        <w:t xml:space="preserve"> na literatura</w:t>
      </w:r>
      <w:r w:rsidR="004E5746" w:rsidRPr="009971F6">
        <w:t>.</w:t>
      </w:r>
      <w:r w:rsidRPr="009971F6">
        <w:t xml:space="preserve"> </w:t>
      </w:r>
      <w:r w:rsidR="004E5746" w:rsidRPr="009971F6">
        <w:t xml:space="preserve">Com isto, pretende-se </w:t>
      </w:r>
      <w:r w:rsidRPr="009971F6">
        <w:t xml:space="preserve">identificar </w:t>
      </w:r>
      <w:r w:rsidR="004E5746" w:rsidRPr="009971F6">
        <w:t xml:space="preserve">os principais </w:t>
      </w:r>
      <w:r w:rsidRPr="009971F6">
        <w:t xml:space="preserve">indicadores socioeconômicos e políticos </w:t>
      </w:r>
      <w:r w:rsidR="004E5746" w:rsidRPr="009971F6">
        <w:t>que</w:t>
      </w:r>
      <w:r w:rsidRPr="009971F6">
        <w:t xml:space="preserve"> </w:t>
      </w:r>
      <w:r w:rsidR="004E5746" w:rsidRPr="009971F6">
        <w:t xml:space="preserve">impactaram </w:t>
      </w:r>
      <w:r w:rsidRPr="009971F6">
        <w:t>na cobertura vegetal</w:t>
      </w:r>
      <w:r w:rsidR="004E5746" w:rsidRPr="009971F6">
        <w:t xml:space="preserve"> da região</w:t>
      </w:r>
      <w:r w:rsidRPr="009971F6">
        <w:t>.</w:t>
      </w:r>
      <w:r w:rsidR="007D333B" w:rsidRPr="009971F6">
        <w:t xml:space="preserve"> </w:t>
      </w:r>
      <w:r w:rsidR="0042655E" w:rsidRPr="009971F6">
        <w:t xml:space="preserve">Espera-se, portanto, encontrar uma curva semelhante </w:t>
      </w:r>
      <w:r w:rsidR="00E17CED" w:rsidRPr="009971F6">
        <w:t>à</w:t>
      </w:r>
      <w:r w:rsidR="0042655E" w:rsidRPr="009971F6">
        <w:t xml:space="preserve"> proposta pela TTF, com formato de </w:t>
      </w:r>
      <w:r w:rsidR="00A80287" w:rsidRPr="009971F6">
        <w:t>“</w:t>
      </w:r>
      <w:r w:rsidR="0042655E" w:rsidRPr="009971F6">
        <w:t>U</w:t>
      </w:r>
      <w:r w:rsidR="00A80287" w:rsidRPr="009971F6">
        <w:t>”</w:t>
      </w:r>
      <w:r w:rsidR="0042655E" w:rsidRPr="009971F6">
        <w:t xml:space="preserve">. Assim sendo, </w:t>
      </w:r>
      <w:r w:rsidR="00A80287" w:rsidRPr="009971F6">
        <w:t xml:space="preserve">se </w:t>
      </w:r>
      <w:r w:rsidR="0042655E" w:rsidRPr="009971F6">
        <w:t xml:space="preserve">pretende </w:t>
      </w:r>
      <w:r w:rsidR="00405424" w:rsidRPr="009971F6">
        <w:t xml:space="preserve">estimar </w:t>
      </w:r>
      <w:r w:rsidR="00F22135" w:rsidRPr="009971F6">
        <w:t>modelos</w:t>
      </w:r>
      <w:r w:rsidR="00A80287" w:rsidRPr="009971F6">
        <w:t xml:space="preserve"> </w:t>
      </w:r>
      <w:r w:rsidR="00405424" w:rsidRPr="009971F6">
        <w:t xml:space="preserve">com variáveis </w:t>
      </w:r>
      <w:r w:rsidR="00A80287" w:rsidRPr="009971F6">
        <w:t>significante</w:t>
      </w:r>
      <w:r w:rsidR="00405424" w:rsidRPr="009971F6">
        <w:t>s</w:t>
      </w:r>
      <w:r w:rsidR="00A80287" w:rsidRPr="009971F6">
        <w:t xml:space="preserve"> </w:t>
      </w:r>
      <w:r w:rsidR="00405424" w:rsidRPr="009971F6">
        <w:t xml:space="preserve">para </w:t>
      </w:r>
      <w:r w:rsidR="00A80287" w:rsidRPr="009971F6">
        <w:t xml:space="preserve">a relação da cobertura florestal com a renda </w:t>
      </w:r>
      <w:r w:rsidR="00A80287" w:rsidRPr="009971F6">
        <w:rPr>
          <w:i/>
          <w:iCs/>
        </w:rPr>
        <w:t>per capita</w:t>
      </w:r>
      <w:r w:rsidR="00A80287" w:rsidRPr="009971F6">
        <w:t>, bem como a presença de outras variáveis explicativas para o fenômeno, conforme será detalhado na seção de metodologia.</w:t>
      </w:r>
    </w:p>
    <w:p w14:paraId="7E3601E6" w14:textId="29A20029" w:rsidR="00697983" w:rsidRPr="009971F6" w:rsidRDefault="002D21CA" w:rsidP="00D3677A">
      <w:pPr>
        <w:spacing w:line="360" w:lineRule="auto"/>
        <w:ind w:firstLine="709"/>
        <w:jc w:val="both"/>
        <w:rPr>
          <w:color w:val="FF0000"/>
        </w:rPr>
      </w:pPr>
      <w:r w:rsidRPr="009971F6">
        <w:t>Assim, o</w:t>
      </w:r>
      <w:r w:rsidR="00697983" w:rsidRPr="009971F6">
        <w:t xml:space="preserve"> trabalho foi dividido em </w:t>
      </w:r>
      <w:r w:rsidR="0082249A" w:rsidRPr="009971F6">
        <w:t xml:space="preserve">sete </w:t>
      </w:r>
      <w:r w:rsidR="00EF5BD5" w:rsidRPr="009971F6">
        <w:t>seções</w:t>
      </w:r>
      <w:r w:rsidR="00E6239B" w:rsidRPr="009971F6">
        <w:t xml:space="preserve">. </w:t>
      </w:r>
      <w:r w:rsidR="00EF5BD5" w:rsidRPr="009971F6">
        <w:t>A</w:t>
      </w:r>
      <w:r w:rsidR="00697983" w:rsidRPr="009971F6">
        <w:t xml:space="preserve"> primeir</w:t>
      </w:r>
      <w:r w:rsidR="00EF5BD5" w:rsidRPr="009971F6">
        <w:t>a</w:t>
      </w:r>
      <w:r w:rsidR="00697983" w:rsidRPr="009971F6">
        <w:t xml:space="preserve"> </w:t>
      </w:r>
      <w:r w:rsidR="00E6239B" w:rsidRPr="009971F6">
        <w:t xml:space="preserve">é </w:t>
      </w:r>
      <w:r w:rsidR="00697983" w:rsidRPr="009971F6">
        <w:t>a introdução,</w:t>
      </w:r>
      <w:r w:rsidR="00A566B9" w:rsidRPr="009971F6">
        <w:t xml:space="preserve"> que é</w:t>
      </w:r>
      <w:r w:rsidR="00697983" w:rsidRPr="009971F6">
        <w:t xml:space="preserve"> seguid</w:t>
      </w:r>
      <w:r w:rsidR="00A566B9" w:rsidRPr="009971F6">
        <w:t>a</w:t>
      </w:r>
      <w:r w:rsidR="0082249A" w:rsidRPr="009971F6">
        <w:t xml:space="preserve"> de uma breve</w:t>
      </w:r>
      <w:r w:rsidR="00697983" w:rsidRPr="009971F6">
        <w:t xml:space="preserve"> revisão da literatura </w:t>
      </w:r>
      <w:r w:rsidR="00A566B9" w:rsidRPr="009971F6">
        <w:t>sobre o tema.</w:t>
      </w:r>
      <w:r w:rsidR="0082249A" w:rsidRPr="009971F6">
        <w:t xml:space="preserve"> Na terceira seção é apresentado o referencial teórico sobre o tema</w:t>
      </w:r>
      <w:r w:rsidR="00A44866" w:rsidRPr="009971F6">
        <w:t>.</w:t>
      </w:r>
      <w:r w:rsidR="00A566B9" w:rsidRPr="009971F6">
        <w:t xml:space="preserve"> </w:t>
      </w:r>
      <w:r w:rsidR="00A44866" w:rsidRPr="009971F6">
        <w:t>A quarta seção apresenta</w:t>
      </w:r>
      <w:r w:rsidR="00E6239B" w:rsidRPr="009971F6">
        <w:t xml:space="preserve"> a metodologia utilizada, explicitando a fonte dos </w:t>
      </w:r>
      <w:r w:rsidR="00E6239B" w:rsidRPr="009971F6">
        <w:lastRenderedPageBreak/>
        <w:t>dados e os fundamentos dos modelos econométricos</w:t>
      </w:r>
      <w:r w:rsidR="00A44866" w:rsidRPr="009971F6">
        <w:t xml:space="preserve"> empregados.</w:t>
      </w:r>
      <w:r w:rsidR="00E6239B" w:rsidRPr="009971F6">
        <w:t xml:space="preserve"> </w:t>
      </w:r>
      <w:r w:rsidR="00A44866" w:rsidRPr="009971F6">
        <w:t>A quinta seção</w:t>
      </w:r>
      <w:r w:rsidR="00E6239B" w:rsidRPr="009971F6">
        <w:t xml:space="preserve"> apresenta os resultados obtidos </w:t>
      </w:r>
      <w:r w:rsidR="00A44866" w:rsidRPr="009971F6">
        <w:t>qu</w:t>
      </w:r>
      <w:r w:rsidR="00E6239B" w:rsidRPr="009971F6">
        <w:t>e em seguida, n</w:t>
      </w:r>
      <w:r w:rsidR="00BE570B" w:rsidRPr="009971F6">
        <w:t>a</w:t>
      </w:r>
      <w:r w:rsidR="00E6239B" w:rsidRPr="009971F6">
        <w:t xml:space="preserve"> </w:t>
      </w:r>
      <w:r w:rsidR="00BE570B" w:rsidRPr="009971F6">
        <w:t>sexta seção</w:t>
      </w:r>
      <w:r w:rsidR="00E6239B" w:rsidRPr="009971F6">
        <w:t>, serão discutidos</w:t>
      </w:r>
      <w:r w:rsidR="00AB1B24" w:rsidRPr="009971F6">
        <w:t xml:space="preserve">. Por fim, </w:t>
      </w:r>
      <w:r w:rsidR="00BE570B" w:rsidRPr="009971F6">
        <w:t>a seção sete</w:t>
      </w:r>
      <w:r w:rsidR="00AB1B24" w:rsidRPr="009971F6">
        <w:t xml:space="preserve"> apresentará as considerações finais acerca d</w:t>
      </w:r>
      <w:r w:rsidR="00BE570B" w:rsidRPr="009971F6">
        <w:t>os resultados d</w:t>
      </w:r>
      <w:r w:rsidR="00AB1B24" w:rsidRPr="009971F6">
        <w:t xml:space="preserve">a pesquisa. </w:t>
      </w:r>
    </w:p>
    <w:p w14:paraId="78F3D042" w14:textId="77777777" w:rsidR="00A309C1" w:rsidRPr="009971F6" w:rsidRDefault="00A309C1" w:rsidP="00D3677A">
      <w:pPr>
        <w:spacing w:line="360" w:lineRule="auto"/>
        <w:jc w:val="both"/>
      </w:pPr>
    </w:p>
    <w:p w14:paraId="3C896FFC" w14:textId="36250AB6" w:rsidR="006C30E4" w:rsidRPr="009971F6" w:rsidRDefault="00573D67" w:rsidP="00B60098">
      <w:pPr>
        <w:pStyle w:val="Ttulo1"/>
        <w:ind w:left="0" w:firstLine="0"/>
      </w:pPr>
      <w:bookmarkStart w:id="2" w:name="_Toc130219016"/>
      <w:r w:rsidRPr="009971F6">
        <w:t xml:space="preserve">2 </w:t>
      </w:r>
      <w:r w:rsidR="00AA1043" w:rsidRPr="009971F6">
        <w:t>R</w:t>
      </w:r>
      <w:r w:rsidR="000F705B" w:rsidRPr="009971F6">
        <w:t>eferencial teórico</w:t>
      </w:r>
      <w:bookmarkEnd w:id="2"/>
    </w:p>
    <w:p w14:paraId="4D7470FC" w14:textId="30C1E0A9" w:rsidR="00207674" w:rsidRPr="009971F6" w:rsidRDefault="00207674" w:rsidP="00B60098">
      <w:pPr>
        <w:pStyle w:val="Ttulo2"/>
        <w:spacing w:before="0" w:after="0"/>
        <w:ind w:firstLine="0"/>
        <w:jc w:val="left"/>
        <w:rPr>
          <w:b/>
          <w:bCs/>
        </w:rPr>
      </w:pPr>
      <w:bookmarkStart w:id="3" w:name="_Toc130219017"/>
      <w:r w:rsidRPr="009971F6">
        <w:rPr>
          <w:b/>
          <w:bCs/>
        </w:rPr>
        <w:t xml:space="preserve">2.1 </w:t>
      </w:r>
      <w:r w:rsidR="00B60098" w:rsidRPr="009971F6">
        <w:rPr>
          <w:b/>
          <w:bCs/>
        </w:rPr>
        <w:t xml:space="preserve">Breve Caracterização </w:t>
      </w:r>
      <w:r w:rsidR="00A972A9" w:rsidRPr="009971F6">
        <w:rPr>
          <w:b/>
          <w:bCs/>
        </w:rPr>
        <w:t>d</w:t>
      </w:r>
      <w:r w:rsidR="00B60098" w:rsidRPr="009971F6">
        <w:rPr>
          <w:b/>
          <w:bCs/>
        </w:rPr>
        <w:t>a Amazônia Legal</w:t>
      </w:r>
      <w:bookmarkEnd w:id="3"/>
    </w:p>
    <w:p w14:paraId="071F4F30" w14:textId="77777777" w:rsidR="00207674" w:rsidRPr="009971F6" w:rsidRDefault="00207674" w:rsidP="00D3677A">
      <w:pPr>
        <w:pStyle w:val="TextoCorridoABNT"/>
        <w:rPr>
          <w:rFonts w:ascii="Calibri" w:hAnsi="Calibri"/>
          <w:sz w:val="20"/>
          <w:szCs w:val="20"/>
        </w:rPr>
      </w:pPr>
      <w:r w:rsidRPr="009971F6">
        <w:rPr>
          <w:bdr w:val="none" w:sz="0" w:space="0" w:color="auto" w:frame="1"/>
        </w:rPr>
        <w:t xml:space="preserve">Com mais de </w:t>
      </w:r>
      <w:r w:rsidR="00241E86" w:rsidRPr="009971F6">
        <w:rPr>
          <w:bdr w:val="none" w:sz="0" w:space="0" w:color="auto" w:frame="1"/>
        </w:rPr>
        <w:t>27</w:t>
      </w:r>
      <w:r w:rsidRPr="009971F6">
        <w:rPr>
          <w:bdr w:val="none" w:sz="0" w:space="0" w:color="auto" w:frame="1"/>
        </w:rPr>
        <w:t xml:space="preserve"> milhões de habitantes em </w:t>
      </w:r>
      <w:r w:rsidR="00241E86" w:rsidRPr="009971F6">
        <w:rPr>
          <w:bdr w:val="none" w:sz="0" w:space="0" w:color="auto" w:frame="1"/>
        </w:rPr>
        <w:t>2022 (IBGE, 2023)</w:t>
      </w:r>
      <w:r w:rsidRPr="009971F6">
        <w:rPr>
          <w:bdr w:val="none" w:sz="0" w:space="0" w:color="auto" w:frame="1"/>
        </w:rPr>
        <w:t xml:space="preserve">, a Amazônia Legal </w:t>
      </w:r>
      <w:r w:rsidR="00165597" w:rsidRPr="009971F6">
        <w:rPr>
          <w:bdr w:val="none" w:sz="0" w:space="0" w:color="auto" w:frame="1"/>
        </w:rPr>
        <w:t xml:space="preserve">é </w:t>
      </w:r>
      <w:r w:rsidR="00241E86" w:rsidRPr="009971F6">
        <w:rPr>
          <w:bdr w:val="none" w:sz="0" w:space="0" w:color="auto" w:frame="1"/>
        </w:rPr>
        <w:t xml:space="preserve">uma região político administrativa instituída pelo governo brasileiro com o intuito de reunir regiões com problemas econômicos, políticos e sociais semelhantes para fomentar seu desenvolvimento econômico e social, integrando </w:t>
      </w:r>
      <w:r w:rsidR="005B42D0" w:rsidRPr="009971F6">
        <w:rPr>
          <w:bdr w:val="none" w:sz="0" w:space="0" w:color="auto" w:frame="1"/>
        </w:rPr>
        <w:t>seus</w:t>
      </w:r>
      <w:r w:rsidR="00241E86" w:rsidRPr="009971F6">
        <w:rPr>
          <w:bdr w:val="none" w:sz="0" w:space="0" w:color="auto" w:frame="1"/>
        </w:rPr>
        <w:t xml:space="preserve"> municípios na base econômica nacional.</w:t>
      </w:r>
    </w:p>
    <w:p w14:paraId="0C0153FC" w14:textId="08DFA33A" w:rsidR="00A4378B" w:rsidRPr="009971F6" w:rsidRDefault="006A5A9F" w:rsidP="00BD14A7">
      <w:pPr>
        <w:pStyle w:val="TextoCorridoABNT"/>
        <w:rPr>
          <w:bdr w:val="none" w:sz="0" w:space="0" w:color="auto" w:frame="1"/>
        </w:rPr>
      </w:pPr>
      <w:r w:rsidRPr="009971F6">
        <w:rPr>
          <w:bdr w:val="none" w:sz="0" w:space="0" w:color="auto" w:frame="1"/>
        </w:rPr>
        <w:t xml:space="preserve">Correspondendo a </w:t>
      </w:r>
      <w:r w:rsidR="00207674" w:rsidRPr="009971F6">
        <w:rPr>
          <w:bdr w:val="none" w:sz="0" w:space="0" w:color="auto" w:frame="1"/>
        </w:rPr>
        <w:t xml:space="preserve">cerca de </w:t>
      </w:r>
      <w:r w:rsidR="00701750" w:rsidRPr="009971F6">
        <w:rPr>
          <w:bdr w:val="none" w:sz="0" w:space="0" w:color="auto" w:frame="1"/>
        </w:rPr>
        <w:t>10</w:t>
      </w:r>
      <w:r w:rsidR="00207674" w:rsidRPr="009971F6">
        <w:rPr>
          <w:bdr w:val="none" w:sz="0" w:space="0" w:color="auto" w:frame="1"/>
        </w:rPr>
        <w:t xml:space="preserve">% do PIB nacional, os dados do Produto </w:t>
      </w:r>
      <w:r w:rsidR="00392499" w:rsidRPr="009971F6">
        <w:rPr>
          <w:bdr w:val="none" w:sz="0" w:space="0" w:color="auto" w:frame="1"/>
        </w:rPr>
        <w:t>I</w:t>
      </w:r>
      <w:r w:rsidR="00207674" w:rsidRPr="009971F6">
        <w:rPr>
          <w:bdr w:val="none" w:sz="0" w:space="0" w:color="auto" w:frame="1"/>
        </w:rPr>
        <w:t xml:space="preserve">nterno Bruto (PIB) para os estados da Amazônia Legal </w:t>
      </w:r>
      <w:r w:rsidR="00A6427D" w:rsidRPr="009971F6">
        <w:rPr>
          <w:bdr w:val="none" w:sz="0" w:space="0" w:color="auto" w:frame="1"/>
        </w:rPr>
        <w:t xml:space="preserve">demonstram </w:t>
      </w:r>
      <w:r w:rsidR="00207674" w:rsidRPr="009971F6">
        <w:rPr>
          <w:bdr w:val="none" w:sz="0" w:space="0" w:color="auto" w:frame="1"/>
        </w:rPr>
        <w:t xml:space="preserve">a importância </w:t>
      </w:r>
      <w:r w:rsidR="00D4774F" w:rsidRPr="009971F6">
        <w:rPr>
          <w:bdr w:val="none" w:sz="0" w:space="0" w:color="auto" w:frame="1"/>
        </w:rPr>
        <w:t>econômica da</w:t>
      </w:r>
      <w:r w:rsidR="00207674" w:rsidRPr="009971F6">
        <w:rPr>
          <w:bdr w:val="none" w:sz="0" w:space="0" w:color="auto" w:frame="1"/>
        </w:rPr>
        <w:t xml:space="preserve"> região. </w:t>
      </w:r>
      <w:r w:rsidR="00392499" w:rsidRPr="009971F6">
        <w:rPr>
          <w:bdr w:val="none" w:sz="0" w:space="0" w:color="auto" w:frame="1"/>
        </w:rPr>
        <w:t>Nacionalmente</w:t>
      </w:r>
      <w:r w:rsidR="00207674" w:rsidRPr="009971F6">
        <w:rPr>
          <w:bdr w:val="none" w:sz="0" w:space="0" w:color="auto" w:frame="1"/>
        </w:rPr>
        <w:t xml:space="preserve">, a participação de cada setor na composição do </w:t>
      </w:r>
      <w:r w:rsidR="002C0E04" w:rsidRPr="009971F6">
        <w:rPr>
          <w:bdr w:val="none" w:sz="0" w:space="0" w:color="auto" w:frame="1"/>
        </w:rPr>
        <w:t>valor adicionado bruto</w:t>
      </w:r>
      <w:r w:rsidR="00207674" w:rsidRPr="009971F6">
        <w:rPr>
          <w:bdr w:val="none" w:sz="0" w:space="0" w:color="auto" w:frame="1"/>
        </w:rPr>
        <w:t xml:space="preserve"> se comportou da seguinte maneira em 202</w:t>
      </w:r>
      <w:r w:rsidR="00F573C3" w:rsidRPr="009971F6">
        <w:rPr>
          <w:bdr w:val="none" w:sz="0" w:space="0" w:color="auto" w:frame="1"/>
        </w:rPr>
        <w:t>0</w:t>
      </w:r>
      <w:r w:rsidR="00207674" w:rsidRPr="009971F6">
        <w:rPr>
          <w:bdr w:val="none" w:sz="0" w:space="0" w:color="auto" w:frame="1"/>
        </w:rPr>
        <w:t xml:space="preserve">: Agropecuária </w:t>
      </w:r>
      <w:r w:rsidR="002C0E04" w:rsidRPr="009971F6">
        <w:rPr>
          <w:bdr w:val="none" w:sz="0" w:space="0" w:color="auto" w:frame="1"/>
        </w:rPr>
        <w:t>6,59%;</w:t>
      </w:r>
      <w:r w:rsidR="00207674" w:rsidRPr="009971F6">
        <w:rPr>
          <w:bdr w:val="none" w:sz="0" w:space="0" w:color="auto" w:frame="1"/>
        </w:rPr>
        <w:t xml:space="preserve"> Indústria </w:t>
      </w:r>
      <w:r w:rsidR="002C0E04" w:rsidRPr="009971F6">
        <w:rPr>
          <w:bdr w:val="none" w:sz="0" w:space="0" w:color="auto" w:frame="1"/>
        </w:rPr>
        <w:t>22,51%;</w:t>
      </w:r>
      <w:r w:rsidR="00207674" w:rsidRPr="009971F6">
        <w:rPr>
          <w:bdr w:val="none" w:sz="0" w:space="0" w:color="auto" w:frame="1"/>
        </w:rPr>
        <w:t xml:space="preserve"> Serviços </w:t>
      </w:r>
      <w:r w:rsidR="002C0E04" w:rsidRPr="009971F6">
        <w:rPr>
          <w:bdr w:val="none" w:sz="0" w:space="0" w:color="auto" w:frame="1"/>
        </w:rPr>
        <w:t>53,51%</w:t>
      </w:r>
      <w:r w:rsidR="00207674" w:rsidRPr="009971F6">
        <w:rPr>
          <w:bdr w:val="none" w:sz="0" w:space="0" w:color="auto" w:frame="1"/>
        </w:rPr>
        <w:t xml:space="preserve"> e setor público </w:t>
      </w:r>
      <w:r w:rsidR="002C0E04" w:rsidRPr="009971F6">
        <w:rPr>
          <w:bdr w:val="none" w:sz="0" w:space="0" w:color="auto" w:frame="1"/>
        </w:rPr>
        <w:t>17,49%</w:t>
      </w:r>
      <w:r w:rsidR="00207674" w:rsidRPr="009971F6">
        <w:rPr>
          <w:bdr w:val="none" w:sz="0" w:space="0" w:color="auto" w:frame="1"/>
        </w:rPr>
        <w:t>. Na Região da Amazônia Legal</w:t>
      </w:r>
      <w:r w:rsidR="00392499" w:rsidRPr="009971F6">
        <w:rPr>
          <w:bdr w:val="none" w:sz="0" w:space="0" w:color="auto" w:frame="1"/>
        </w:rPr>
        <w:t xml:space="preserve"> no mesmo ano</w:t>
      </w:r>
      <w:r w:rsidR="003622DE" w:rsidRPr="009971F6">
        <w:rPr>
          <w:bdr w:val="none" w:sz="0" w:space="0" w:color="auto" w:frame="1"/>
        </w:rPr>
        <w:t>, conforme demonstrado na Tabela 1</w:t>
      </w:r>
      <w:r w:rsidR="00207674" w:rsidRPr="009971F6">
        <w:rPr>
          <w:bdr w:val="none" w:sz="0" w:space="0" w:color="auto" w:frame="1"/>
        </w:rPr>
        <w:t xml:space="preserve">, é possível perceber uma maior participação da </w:t>
      </w:r>
      <w:r w:rsidR="002C0E04" w:rsidRPr="009971F6">
        <w:rPr>
          <w:bdr w:val="none" w:sz="0" w:space="0" w:color="auto" w:frame="1"/>
        </w:rPr>
        <w:t>agropecuária e da indústria</w:t>
      </w:r>
      <w:r w:rsidR="00207674" w:rsidRPr="009971F6">
        <w:rPr>
          <w:bdr w:val="none" w:sz="0" w:space="0" w:color="auto" w:frame="1"/>
        </w:rPr>
        <w:t xml:space="preserve"> quando comparado com as parcelas </w:t>
      </w:r>
      <w:r w:rsidR="002C0E04" w:rsidRPr="009971F6">
        <w:rPr>
          <w:bdr w:val="none" w:sz="0" w:space="0" w:color="auto" w:frame="1"/>
        </w:rPr>
        <w:t>naciona</w:t>
      </w:r>
      <w:r w:rsidR="00392499" w:rsidRPr="009971F6">
        <w:rPr>
          <w:bdr w:val="none" w:sz="0" w:space="0" w:color="auto" w:frame="1"/>
        </w:rPr>
        <w:t>is</w:t>
      </w:r>
      <w:r w:rsidR="00207674" w:rsidRPr="009971F6">
        <w:rPr>
          <w:bdr w:val="none" w:sz="0" w:space="0" w:color="auto" w:frame="1"/>
        </w:rPr>
        <w:t xml:space="preserve">: </w:t>
      </w:r>
      <w:r w:rsidR="00B22D33" w:rsidRPr="009971F6">
        <w:rPr>
          <w:bdr w:val="none" w:sz="0" w:space="0" w:color="auto" w:frame="1"/>
        </w:rPr>
        <w:t xml:space="preserve">14,74% na </w:t>
      </w:r>
      <w:r w:rsidR="003622DE" w:rsidRPr="009971F6">
        <w:rPr>
          <w:bdr w:val="none" w:sz="0" w:space="0" w:color="auto" w:frame="1"/>
        </w:rPr>
        <w:t>agropecuária</w:t>
      </w:r>
      <w:r w:rsidR="00B22D33" w:rsidRPr="009971F6">
        <w:rPr>
          <w:bdr w:val="none" w:sz="0" w:space="0" w:color="auto" w:frame="1"/>
        </w:rPr>
        <w:t xml:space="preserve">; 27,15% na indústria; 36,08% em serviços e 22,04% no </w:t>
      </w:r>
      <w:r w:rsidR="00392499" w:rsidRPr="009971F6">
        <w:rPr>
          <w:bdr w:val="none" w:sz="0" w:space="0" w:color="auto" w:frame="1"/>
        </w:rPr>
        <w:t xml:space="preserve">setor </w:t>
      </w:r>
      <w:r w:rsidR="00B22D33" w:rsidRPr="009971F6">
        <w:rPr>
          <w:bdr w:val="none" w:sz="0" w:space="0" w:color="auto" w:frame="1"/>
        </w:rPr>
        <w:t>público</w:t>
      </w:r>
      <w:r w:rsidR="00BD14A7" w:rsidRPr="009971F6">
        <w:rPr>
          <w:bdr w:val="none" w:sz="0" w:space="0" w:color="auto" w:frame="1"/>
        </w:rPr>
        <w:t>.</w:t>
      </w:r>
      <w:r w:rsidR="00392499" w:rsidRPr="009971F6">
        <w:rPr>
          <w:bdr w:val="none" w:sz="0" w:space="0" w:color="auto" w:frame="1"/>
        </w:rPr>
        <w:t xml:space="preserve"> </w:t>
      </w:r>
      <w:r w:rsidR="00701750" w:rsidRPr="009971F6">
        <w:rPr>
          <w:bdr w:val="none" w:sz="0" w:space="0" w:color="auto" w:frame="1"/>
        </w:rPr>
        <w:t>Comparando a participação de cada setor nos estados com a média nacional, percebe-se uma maior participação da agropecuária para todos os estados</w:t>
      </w:r>
      <w:r w:rsidR="00392499" w:rsidRPr="009971F6">
        <w:rPr>
          <w:bdr w:val="none" w:sz="0" w:space="0" w:color="auto" w:frame="1"/>
        </w:rPr>
        <w:t xml:space="preserve"> da Amazônia Legal</w:t>
      </w:r>
      <w:r w:rsidR="00701750" w:rsidRPr="009971F6">
        <w:rPr>
          <w:bdr w:val="none" w:sz="0" w:space="0" w:color="auto" w:frame="1"/>
        </w:rPr>
        <w:t>, com exceção do Acre, Amapá e Amazonas. A i</w:t>
      </w:r>
      <w:r w:rsidR="00207674" w:rsidRPr="009971F6">
        <w:rPr>
          <w:bdr w:val="none" w:sz="0" w:space="0" w:color="auto" w:frame="1"/>
        </w:rPr>
        <w:t xml:space="preserve">ndústria teve uma participação menor que a média nacional em quase todas as </w:t>
      </w:r>
      <w:r w:rsidR="00392499" w:rsidRPr="009971F6">
        <w:rPr>
          <w:bdr w:val="none" w:sz="0" w:space="0" w:color="auto" w:frame="1"/>
        </w:rPr>
        <w:t>U</w:t>
      </w:r>
      <w:r w:rsidR="00207674" w:rsidRPr="009971F6">
        <w:rPr>
          <w:bdr w:val="none" w:sz="0" w:space="0" w:color="auto" w:frame="1"/>
        </w:rPr>
        <w:t xml:space="preserve">nidades </w:t>
      </w:r>
      <w:r w:rsidR="00392499" w:rsidRPr="009971F6">
        <w:rPr>
          <w:bdr w:val="none" w:sz="0" w:space="0" w:color="auto" w:frame="1"/>
        </w:rPr>
        <w:t>F</w:t>
      </w:r>
      <w:r w:rsidR="00207674" w:rsidRPr="009971F6">
        <w:rPr>
          <w:bdr w:val="none" w:sz="0" w:space="0" w:color="auto" w:frame="1"/>
        </w:rPr>
        <w:t>ederativas, com exceção do Amazonas</w:t>
      </w:r>
      <w:r w:rsidR="00274F99" w:rsidRPr="009971F6">
        <w:rPr>
          <w:bdr w:val="none" w:sz="0" w:space="0" w:color="auto" w:frame="1"/>
        </w:rPr>
        <w:t xml:space="preserve">. </w:t>
      </w:r>
      <w:r w:rsidR="00207674" w:rsidRPr="009971F6">
        <w:rPr>
          <w:bdr w:val="none" w:sz="0" w:space="0" w:color="auto" w:frame="1"/>
        </w:rPr>
        <w:t xml:space="preserve">O setor público demonstrou </w:t>
      </w:r>
      <w:r w:rsidR="00392499" w:rsidRPr="009971F6">
        <w:rPr>
          <w:bdr w:val="none" w:sz="0" w:space="0" w:color="auto" w:frame="1"/>
        </w:rPr>
        <w:t xml:space="preserve">relevância </w:t>
      </w:r>
      <w:r w:rsidR="00207674" w:rsidRPr="009971F6">
        <w:rPr>
          <w:bdr w:val="none" w:sz="0" w:space="0" w:color="auto" w:frame="1"/>
        </w:rPr>
        <w:t>para a região, com participação maior que a média nacional para todos os estados</w:t>
      </w:r>
      <w:r w:rsidR="00274F99" w:rsidRPr="009971F6">
        <w:rPr>
          <w:bdr w:val="none" w:sz="0" w:space="0" w:color="auto" w:frame="1"/>
        </w:rPr>
        <w:t xml:space="preserve"> exceto Mato Grosso</w:t>
      </w:r>
      <w:r w:rsidR="00207674" w:rsidRPr="009971F6">
        <w:rPr>
          <w:bdr w:val="none" w:sz="0" w:space="0" w:color="auto" w:frame="1"/>
        </w:rPr>
        <w:t xml:space="preserve">. Por fim, o setor de serviços apresentou menor </w:t>
      </w:r>
      <w:r w:rsidR="00392499" w:rsidRPr="009971F6">
        <w:rPr>
          <w:bdr w:val="none" w:sz="0" w:space="0" w:color="auto" w:frame="1"/>
        </w:rPr>
        <w:t xml:space="preserve">relevância relativa </w:t>
      </w:r>
      <w:r w:rsidR="00207674" w:rsidRPr="009971F6">
        <w:rPr>
          <w:bdr w:val="none" w:sz="0" w:space="0" w:color="auto" w:frame="1"/>
        </w:rPr>
        <w:t xml:space="preserve">que </w:t>
      </w:r>
      <w:r w:rsidR="00392499" w:rsidRPr="009971F6">
        <w:rPr>
          <w:bdr w:val="none" w:sz="0" w:space="0" w:color="auto" w:frame="1"/>
        </w:rPr>
        <w:t xml:space="preserve">para </w:t>
      </w:r>
      <w:r w:rsidR="00207674" w:rsidRPr="009971F6">
        <w:rPr>
          <w:bdr w:val="none" w:sz="0" w:space="0" w:color="auto" w:frame="1"/>
        </w:rPr>
        <w:t xml:space="preserve">a média </w:t>
      </w:r>
      <w:r w:rsidR="00701750" w:rsidRPr="009971F6">
        <w:rPr>
          <w:bdr w:val="none" w:sz="0" w:space="0" w:color="auto" w:frame="1"/>
        </w:rPr>
        <w:t>nacional em toda região</w:t>
      </w:r>
      <w:r w:rsidR="003622DE" w:rsidRPr="009971F6">
        <w:rPr>
          <w:bdr w:val="none" w:sz="0" w:space="0" w:color="auto" w:frame="1"/>
        </w:rPr>
        <w:t xml:space="preserve"> (IBGE, 2023)</w:t>
      </w:r>
      <w:r w:rsidR="00701750" w:rsidRPr="009971F6">
        <w:rPr>
          <w:bdr w:val="none" w:sz="0" w:space="0" w:color="auto" w:frame="1"/>
        </w:rPr>
        <w:t>.</w:t>
      </w:r>
    </w:p>
    <w:p w14:paraId="29ABD177" w14:textId="77777777" w:rsidR="00A972A9" w:rsidRPr="009971F6" w:rsidRDefault="00A972A9" w:rsidP="00A972A9">
      <w:pPr>
        <w:pStyle w:val="TextoCorridoABNT"/>
        <w:ind w:firstLine="0"/>
        <w:rPr>
          <w:b/>
          <w:bCs/>
          <w:sz w:val="16"/>
          <w:szCs w:val="16"/>
        </w:rPr>
      </w:pPr>
    </w:p>
    <w:p w14:paraId="29FF9B67" w14:textId="18D4757C" w:rsidR="00207674" w:rsidRPr="009971F6" w:rsidRDefault="00A4378B" w:rsidP="00A972A9">
      <w:pPr>
        <w:pStyle w:val="TextoCorridoABNT"/>
        <w:ind w:firstLine="0"/>
        <w:rPr>
          <w:bdr w:val="none" w:sz="0" w:space="0" w:color="auto" w:frame="1"/>
        </w:rPr>
      </w:pPr>
      <w:r w:rsidRPr="009971F6">
        <w:rPr>
          <w:b/>
          <w:bCs/>
        </w:rPr>
        <w:t>T</w:t>
      </w:r>
      <w:r w:rsidR="00771E5A" w:rsidRPr="009971F6">
        <w:rPr>
          <w:b/>
          <w:bCs/>
        </w:rPr>
        <w:t>abela</w:t>
      </w:r>
      <w:r w:rsidRPr="009971F6">
        <w:rPr>
          <w:b/>
          <w:bCs/>
        </w:rPr>
        <w:t xml:space="preserve"> 1</w:t>
      </w:r>
      <w:r w:rsidRPr="009971F6">
        <w:t xml:space="preserve"> – Participação de cada setor no valor adicionado bruto (em %)</w:t>
      </w:r>
    </w:p>
    <w:tbl>
      <w:tblPr>
        <w:tblW w:w="9059" w:type="dxa"/>
        <w:tblInd w:w="70" w:type="dxa"/>
        <w:tblCellMar>
          <w:left w:w="70" w:type="dxa"/>
          <w:right w:w="70" w:type="dxa"/>
        </w:tblCellMar>
        <w:tblLook w:val="04A0" w:firstRow="1" w:lastRow="0" w:firstColumn="1" w:lastColumn="0" w:noHBand="0" w:noVBand="1"/>
      </w:tblPr>
      <w:tblGrid>
        <w:gridCol w:w="1446"/>
        <w:gridCol w:w="769"/>
        <w:gridCol w:w="769"/>
        <w:gridCol w:w="769"/>
        <w:gridCol w:w="769"/>
        <w:gridCol w:w="769"/>
        <w:gridCol w:w="769"/>
        <w:gridCol w:w="769"/>
        <w:gridCol w:w="769"/>
        <w:gridCol w:w="769"/>
        <w:gridCol w:w="769"/>
      </w:tblGrid>
      <w:tr w:rsidR="00274F99" w:rsidRPr="009971F6" w14:paraId="588E5B57" w14:textId="77777777" w:rsidTr="00274F99">
        <w:trPr>
          <w:trHeight w:val="246"/>
        </w:trPr>
        <w:tc>
          <w:tcPr>
            <w:tcW w:w="1369" w:type="dxa"/>
            <w:tcBorders>
              <w:top w:val="single" w:sz="4" w:space="0" w:color="auto"/>
              <w:left w:val="nil"/>
              <w:bottom w:val="single" w:sz="4" w:space="0" w:color="auto"/>
              <w:right w:val="nil"/>
            </w:tcBorders>
            <w:shd w:val="clear" w:color="auto" w:fill="auto"/>
            <w:noWrap/>
            <w:vAlign w:val="bottom"/>
            <w:hideMark/>
          </w:tcPr>
          <w:p w14:paraId="4DF98261" w14:textId="4A68A111" w:rsidR="00A4378B" w:rsidRPr="009971F6" w:rsidRDefault="00AA3724" w:rsidP="00D3677A">
            <w:pPr>
              <w:spacing w:line="360" w:lineRule="auto"/>
              <w:jc w:val="center"/>
              <w:rPr>
                <w:b/>
                <w:bCs/>
              </w:rPr>
            </w:pPr>
            <w:r w:rsidRPr="009971F6">
              <w:rPr>
                <w:b/>
                <w:bCs/>
              </w:rPr>
              <w:t>Setor</w:t>
            </w:r>
          </w:p>
        </w:tc>
        <w:tc>
          <w:tcPr>
            <w:tcW w:w="769" w:type="dxa"/>
            <w:tcBorders>
              <w:top w:val="single" w:sz="4" w:space="0" w:color="auto"/>
              <w:left w:val="nil"/>
              <w:bottom w:val="single" w:sz="4" w:space="0" w:color="auto"/>
              <w:right w:val="nil"/>
            </w:tcBorders>
            <w:shd w:val="clear" w:color="auto" w:fill="auto"/>
            <w:noWrap/>
            <w:vAlign w:val="bottom"/>
            <w:hideMark/>
          </w:tcPr>
          <w:p w14:paraId="780B9369" w14:textId="77777777" w:rsidR="00A4378B" w:rsidRPr="009971F6" w:rsidRDefault="00A4378B" w:rsidP="00D3677A">
            <w:pPr>
              <w:spacing w:line="360" w:lineRule="auto"/>
              <w:jc w:val="center"/>
              <w:rPr>
                <w:b/>
                <w:bCs/>
              </w:rPr>
            </w:pPr>
            <w:r w:rsidRPr="009971F6">
              <w:rPr>
                <w:b/>
                <w:bCs/>
              </w:rPr>
              <w:t>AC</w:t>
            </w:r>
          </w:p>
        </w:tc>
        <w:tc>
          <w:tcPr>
            <w:tcW w:w="769" w:type="dxa"/>
            <w:tcBorders>
              <w:top w:val="single" w:sz="4" w:space="0" w:color="auto"/>
              <w:left w:val="nil"/>
              <w:bottom w:val="single" w:sz="4" w:space="0" w:color="auto"/>
              <w:right w:val="nil"/>
            </w:tcBorders>
            <w:shd w:val="clear" w:color="auto" w:fill="auto"/>
            <w:noWrap/>
            <w:vAlign w:val="bottom"/>
            <w:hideMark/>
          </w:tcPr>
          <w:p w14:paraId="6F230A9E" w14:textId="77777777" w:rsidR="00A4378B" w:rsidRPr="009971F6" w:rsidRDefault="00A4378B" w:rsidP="00D3677A">
            <w:pPr>
              <w:spacing w:line="360" w:lineRule="auto"/>
              <w:jc w:val="center"/>
              <w:rPr>
                <w:b/>
                <w:bCs/>
              </w:rPr>
            </w:pPr>
            <w:r w:rsidRPr="009971F6">
              <w:rPr>
                <w:b/>
                <w:bCs/>
              </w:rPr>
              <w:t>AP</w:t>
            </w:r>
          </w:p>
        </w:tc>
        <w:tc>
          <w:tcPr>
            <w:tcW w:w="769" w:type="dxa"/>
            <w:tcBorders>
              <w:top w:val="single" w:sz="4" w:space="0" w:color="auto"/>
              <w:left w:val="nil"/>
              <w:bottom w:val="single" w:sz="4" w:space="0" w:color="auto"/>
              <w:right w:val="nil"/>
            </w:tcBorders>
            <w:shd w:val="clear" w:color="auto" w:fill="auto"/>
            <w:noWrap/>
            <w:vAlign w:val="bottom"/>
            <w:hideMark/>
          </w:tcPr>
          <w:p w14:paraId="2E5B49C2" w14:textId="77777777" w:rsidR="00A4378B" w:rsidRPr="009971F6" w:rsidRDefault="00A4378B" w:rsidP="00D3677A">
            <w:pPr>
              <w:spacing w:line="360" w:lineRule="auto"/>
              <w:jc w:val="center"/>
              <w:rPr>
                <w:b/>
                <w:bCs/>
              </w:rPr>
            </w:pPr>
            <w:r w:rsidRPr="009971F6">
              <w:rPr>
                <w:b/>
                <w:bCs/>
              </w:rPr>
              <w:t>AM</w:t>
            </w:r>
          </w:p>
        </w:tc>
        <w:tc>
          <w:tcPr>
            <w:tcW w:w="769" w:type="dxa"/>
            <w:tcBorders>
              <w:top w:val="single" w:sz="4" w:space="0" w:color="auto"/>
              <w:left w:val="nil"/>
              <w:bottom w:val="single" w:sz="4" w:space="0" w:color="auto"/>
              <w:right w:val="nil"/>
            </w:tcBorders>
            <w:shd w:val="clear" w:color="auto" w:fill="auto"/>
            <w:noWrap/>
            <w:vAlign w:val="bottom"/>
            <w:hideMark/>
          </w:tcPr>
          <w:p w14:paraId="7F2962C7" w14:textId="77777777" w:rsidR="00A4378B" w:rsidRPr="009971F6" w:rsidRDefault="00A4378B" w:rsidP="00D3677A">
            <w:pPr>
              <w:spacing w:line="360" w:lineRule="auto"/>
              <w:jc w:val="center"/>
              <w:rPr>
                <w:b/>
                <w:bCs/>
              </w:rPr>
            </w:pPr>
            <w:r w:rsidRPr="009971F6">
              <w:rPr>
                <w:b/>
                <w:bCs/>
              </w:rPr>
              <w:t>MA*</w:t>
            </w:r>
          </w:p>
        </w:tc>
        <w:tc>
          <w:tcPr>
            <w:tcW w:w="769" w:type="dxa"/>
            <w:tcBorders>
              <w:top w:val="single" w:sz="4" w:space="0" w:color="auto"/>
              <w:left w:val="nil"/>
              <w:bottom w:val="single" w:sz="4" w:space="0" w:color="auto"/>
              <w:right w:val="nil"/>
            </w:tcBorders>
            <w:shd w:val="clear" w:color="auto" w:fill="auto"/>
            <w:noWrap/>
            <w:vAlign w:val="bottom"/>
            <w:hideMark/>
          </w:tcPr>
          <w:p w14:paraId="71BF5B2F" w14:textId="77777777" w:rsidR="00A4378B" w:rsidRPr="009971F6" w:rsidRDefault="00A4378B" w:rsidP="00D3677A">
            <w:pPr>
              <w:spacing w:line="360" w:lineRule="auto"/>
              <w:jc w:val="center"/>
              <w:rPr>
                <w:b/>
                <w:bCs/>
              </w:rPr>
            </w:pPr>
            <w:r w:rsidRPr="009971F6">
              <w:rPr>
                <w:b/>
                <w:bCs/>
              </w:rPr>
              <w:t>MT</w:t>
            </w:r>
          </w:p>
        </w:tc>
        <w:tc>
          <w:tcPr>
            <w:tcW w:w="769" w:type="dxa"/>
            <w:tcBorders>
              <w:top w:val="single" w:sz="4" w:space="0" w:color="auto"/>
              <w:left w:val="nil"/>
              <w:bottom w:val="single" w:sz="4" w:space="0" w:color="auto"/>
              <w:right w:val="nil"/>
            </w:tcBorders>
            <w:shd w:val="clear" w:color="auto" w:fill="auto"/>
            <w:noWrap/>
            <w:vAlign w:val="bottom"/>
            <w:hideMark/>
          </w:tcPr>
          <w:p w14:paraId="551A13AF" w14:textId="77777777" w:rsidR="00A4378B" w:rsidRPr="009971F6" w:rsidRDefault="00A4378B" w:rsidP="00D3677A">
            <w:pPr>
              <w:spacing w:line="360" w:lineRule="auto"/>
              <w:jc w:val="center"/>
              <w:rPr>
                <w:b/>
                <w:bCs/>
              </w:rPr>
            </w:pPr>
            <w:r w:rsidRPr="009971F6">
              <w:rPr>
                <w:b/>
                <w:bCs/>
              </w:rPr>
              <w:t>PA</w:t>
            </w:r>
          </w:p>
        </w:tc>
        <w:tc>
          <w:tcPr>
            <w:tcW w:w="769" w:type="dxa"/>
            <w:tcBorders>
              <w:top w:val="single" w:sz="4" w:space="0" w:color="auto"/>
              <w:left w:val="nil"/>
              <w:bottom w:val="single" w:sz="4" w:space="0" w:color="auto"/>
              <w:right w:val="nil"/>
            </w:tcBorders>
            <w:shd w:val="clear" w:color="auto" w:fill="auto"/>
            <w:noWrap/>
            <w:vAlign w:val="bottom"/>
            <w:hideMark/>
          </w:tcPr>
          <w:p w14:paraId="6471F2EB" w14:textId="77777777" w:rsidR="00A4378B" w:rsidRPr="009971F6" w:rsidRDefault="00A4378B" w:rsidP="00D3677A">
            <w:pPr>
              <w:spacing w:line="360" w:lineRule="auto"/>
              <w:jc w:val="center"/>
              <w:rPr>
                <w:b/>
                <w:bCs/>
              </w:rPr>
            </w:pPr>
            <w:r w:rsidRPr="009971F6">
              <w:rPr>
                <w:b/>
                <w:bCs/>
              </w:rPr>
              <w:t>RO</w:t>
            </w:r>
          </w:p>
        </w:tc>
        <w:tc>
          <w:tcPr>
            <w:tcW w:w="769" w:type="dxa"/>
            <w:tcBorders>
              <w:top w:val="single" w:sz="4" w:space="0" w:color="auto"/>
              <w:left w:val="nil"/>
              <w:bottom w:val="single" w:sz="4" w:space="0" w:color="auto"/>
              <w:right w:val="nil"/>
            </w:tcBorders>
            <w:shd w:val="clear" w:color="auto" w:fill="auto"/>
            <w:noWrap/>
            <w:vAlign w:val="bottom"/>
            <w:hideMark/>
          </w:tcPr>
          <w:p w14:paraId="0281131E" w14:textId="77777777" w:rsidR="00A4378B" w:rsidRPr="009971F6" w:rsidRDefault="00A4378B" w:rsidP="00D3677A">
            <w:pPr>
              <w:spacing w:line="360" w:lineRule="auto"/>
              <w:jc w:val="center"/>
              <w:rPr>
                <w:b/>
                <w:bCs/>
              </w:rPr>
            </w:pPr>
            <w:r w:rsidRPr="009971F6">
              <w:rPr>
                <w:b/>
                <w:bCs/>
              </w:rPr>
              <w:t>RR</w:t>
            </w:r>
          </w:p>
        </w:tc>
        <w:tc>
          <w:tcPr>
            <w:tcW w:w="769" w:type="dxa"/>
            <w:tcBorders>
              <w:top w:val="single" w:sz="4" w:space="0" w:color="auto"/>
              <w:left w:val="nil"/>
              <w:bottom w:val="single" w:sz="4" w:space="0" w:color="auto"/>
              <w:right w:val="nil"/>
            </w:tcBorders>
            <w:shd w:val="clear" w:color="auto" w:fill="auto"/>
            <w:noWrap/>
            <w:vAlign w:val="bottom"/>
            <w:hideMark/>
          </w:tcPr>
          <w:p w14:paraId="2CC70F09" w14:textId="77777777" w:rsidR="00A4378B" w:rsidRPr="009971F6" w:rsidRDefault="00A4378B" w:rsidP="00D3677A">
            <w:pPr>
              <w:spacing w:line="360" w:lineRule="auto"/>
              <w:jc w:val="center"/>
              <w:rPr>
                <w:b/>
                <w:bCs/>
              </w:rPr>
            </w:pPr>
            <w:r w:rsidRPr="009971F6">
              <w:rPr>
                <w:b/>
                <w:bCs/>
              </w:rPr>
              <w:t>TO</w:t>
            </w:r>
          </w:p>
        </w:tc>
        <w:tc>
          <w:tcPr>
            <w:tcW w:w="769" w:type="dxa"/>
            <w:tcBorders>
              <w:top w:val="single" w:sz="4" w:space="0" w:color="auto"/>
              <w:left w:val="nil"/>
              <w:bottom w:val="single" w:sz="4" w:space="0" w:color="auto"/>
              <w:right w:val="nil"/>
            </w:tcBorders>
            <w:shd w:val="clear" w:color="auto" w:fill="auto"/>
            <w:noWrap/>
            <w:vAlign w:val="bottom"/>
            <w:hideMark/>
          </w:tcPr>
          <w:p w14:paraId="6B989B65" w14:textId="77777777" w:rsidR="00A4378B" w:rsidRPr="009971F6" w:rsidRDefault="00A4378B" w:rsidP="00D3677A">
            <w:pPr>
              <w:spacing w:line="360" w:lineRule="auto"/>
              <w:jc w:val="center"/>
              <w:rPr>
                <w:b/>
                <w:bCs/>
              </w:rPr>
            </w:pPr>
            <w:r w:rsidRPr="009971F6">
              <w:rPr>
                <w:b/>
                <w:bCs/>
              </w:rPr>
              <w:t>BR</w:t>
            </w:r>
          </w:p>
        </w:tc>
      </w:tr>
      <w:tr w:rsidR="00274F99" w:rsidRPr="009971F6" w14:paraId="604DC8C0" w14:textId="77777777" w:rsidTr="00274F99">
        <w:trPr>
          <w:trHeight w:val="246"/>
        </w:trPr>
        <w:tc>
          <w:tcPr>
            <w:tcW w:w="1369" w:type="dxa"/>
            <w:tcBorders>
              <w:top w:val="nil"/>
              <w:left w:val="nil"/>
              <w:bottom w:val="nil"/>
              <w:right w:val="nil"/>
            </w:tcBorders>
            <w:shd w:val="clear" w:color="auto" w:fill="auto"/>
            <w:noWrap/>
            <w:vAlign w:val="bottom"/>
            <w:hideMark/>
          </w:tcPr>
          <w:p w14:paraId="6852F6F0" w14:textId="77777777" w:rsidR="00A4378B" w:rsidRPr="009971F6" w:rsidRDefault="00A4378B" w:rsidP="00D3677A">
            <w:pPr>
              <w:spacing w:line="360" w:lineRule="auto"/>
            </w:pPr>
            <w:r w:rsidRPr="009971F6">
              <w:t>Agropecuária</w:t>
            </w:r>
          </w:p>
        </w:tc>
        <w:tc>
          <w:tcPr>
            <w:tcW w:w="769" w:type="dxa"/>
            <w:tcBorders>
              <w:top w:val="nil"/>
              <w:left w:val="nil"/>
              <w:bottom w:val="nil"/>
              <w:right w:val="nil"/>
            </w:tcBorders>
            <w:shd w:val="clear" w:color="auto" w:fill="auto"/>
            <w:noWrap/>
            <w:vAlign w:val="bottom"/>
            <w:hideMark/>
          </w:tcPr>
          <w:p w14:paraId="51D84953" w14:textId="77777777" w:rsidR="00A4378B" w:rsidRPr="009971F6" w:rsidRDefault="00A4378B" w:rsidP="00D3677A">
            <w:pPr>
              <w:spacing w:line="360" w:lineRule="auto"/>
              <w:jc w:val="center"/>
            </w:pPr>
            <w:r w:rsidRPr="009971F6">
              <w:t>6,6%</w:t>
            </w:r>
          </w:p>
        </w:tc>
        <w:tc>
          <w:tcPr>
            <w:tcW w:w="769" w:type="dxa"/>
            <w:tcBorders>
              <w:top w:val="nil"/>
              <w:left w:val="nil"/>
              <w:bottom w:val="nil"/>
              <w:right w:val="nil"/>
            </w:tcBorders>
            <w:shd w:val="clear" w:color="auto" w:fill="auto"/>
            <w:noWrap/>
            <w:vAlign w:val="bottom"/>
            <w:hideMark/>
          </w:tcPr>
          <w:p w14:paraId="7181E3D2" w14:textId="77777777" w:rsidR="00A4378B" w:rsidRPr="009971F6" w:rsidRDefault="00A4378B" w:rsidP="00D3677A">
            <w:pPr>
              <w:spacing w:line="360" w:lineRule="auto"/>
              <w:jc w:val="center"/>
            </w:pPr>
            <w:r w:rsidRPr="009971F6">
              <w:t>2,0%</w:t>
            </w:r>
          </w:p>
        </w:tc>
        <w:tc>
          <w:tcPr>
            <w:tcW w:w="769" w:type="dxa"/>
            <w:tcBorders>
              <w:top w:val="nil"/>
              <w:left w:val="nil"/>
              <w:bottom w:val="nil"/>
              <w:right w:val="nil"/>
            </w:tcBorders>
            <w:shd w:val="clear" w:color="auto" w:fill="auto"/>
            <w:noWrap/>
            <w:vAlign w:val="bottom"/>
            <w:hideMark/>
          </w:tcPr>
          <w:p w14:paraId="1F0DD3FF" w14:textId="77777777" w:rsidR="00A4378B" w:rsidRPr="009971F6" w:rsidRDefault="00A4378B" w:rsidP="00D3677A">
            <w:pPr>
              <w:spacing w:line="360" w:lineRule="auto"/>
              <w:jc w:val="center"/>
            </w:pPr>
            <w:r w:rsidRPr="009971F6">
              <w:t>5,3%</w:t>
            </w:r>
          </w:p>
        </w:tc>
        <w:tc>
          <w:tcPr>
            <w:tcW w:w="769" w:type="dxa"/>
            <w:tcBorders>
              <w:top w:val="nil"/>
              <w:left w:val="nil"/>
              <w:bottom w:val="nil"/>
              <w:right w:val="nil"/>
            </w:tcBorders>
            <w:shd w:val="clear" w:color="auto" w:fill="auto"/>
            <w:noWrap/>
            <w:vAlign w:val="bottom"/>
            <w:hideMark/>
          </w:tcPr>
          <w:p w14:paraId="708A95E8" w14:textId="77777777" w:rsidR="00A4378B" w:rsidRPr="009971F6" w:rsidRDefault="00A4378B" w:rsidP="00D3677A">
            <w:pPr>
              <w:spacing w:line="360" w:lineRule="auto"/>
              <w:jc w:val="center"/>
            </w:pPr>
            <w:r w:rsidRPr="009971F6">
              <w:t>12,6%</w:t>
            </w:r>
          </w:p>
        </w:tc>
        <w:tc>
          <w:tcPr>
            <w:tcW w:w="769" w:type="dxa"/>
            <w:tcBorders>
              <w:top w:val="nil"/>
              <w:left w:val="nil"/>
              <w:bottom w:val="nil"/>
              <w:right w:val="nil"/>
            </w:tcBorders>
            <w:shd w:val="clear" w:color="auto" w:fill="auto"/>
            <w:noWrap/>
            <w:vAlign w:val="bottom"/>
            <w:hideMark/>
          </w:tcPr>
          <w:p w14:paraId="0FA5CEEF" w14:textId="77777777" w:rsidR="00A4378B" w:rsidRPr="009971F6" w:rsidRDefault="00A4378B" w:rsidP="00D3677A">
            <w:pPr>
              <w:spacing w:line="360" w:lineRule="auto"/>
              <w:jc w:val="center"/>
            </w:pPr>
            <w:r w:rsidRPr="009971F6">
              <w:t>28,8%</w:t>
            </w:r>
          </w:p>
        </w:tc>
        <w:tc>
          <w:tcPr>
            <w:tcW w:w="769" w:type="dxa"/>
            <w:tcBorders>
              <w:top w:val="nil"/>
              <w:left w:val="nil"/>
              <w:bottom w:val="nil"/>
              <w:right w:val="nil"/>
            </w:tcBorders>
            <w:shd w:val="clear" w:color="auto" w:fill="auto"/>
            <w:noWrap/>
            <w:vAlign w:val="bottom"/>
            <w:hideMark/>
          </w:tcPr>
          <w:p w14:paraId="67005ECB" w14:textId="77777777" w:rsidR="00A4378B" w:rsidRPr="009971F6" w:rsidRDefault="00A4378B" w:rsidP="00D3677A">
            <w:pPr>
              <w:spacing w:line="360" w:lineRule="auto"/>
              <w:jc w:val="center"/>
            </w:pPr>
            <w:r w:rsidRPr="009971F6">
              <w:t>10,0%</w:t>
            </w:r>
          </w:p>
        </w:tc>
        <w:tc>
          <w:tcPr>
            <w:tcW w:w="769" w:type="dxa"/>
            <w:tcBorders>
              <w:top w:val="nil"/>
              <w:left w:val="nil"/>
              <w:bottom w:val="nil"/>
              <w:right w:val="nil"/>
            </w:tcBorders>
            <w:shd w:val="clear" w:color="auto" w:fill="auto"/>
            <w:noWrap/>
            <w:vAlign w:val="bottom"/>
            <w:hideMark/>
          </w:tcPr>
          <w:p w14:paraId="144185E3" w14:textId="77777777" w:rsidR="00A4378B" w:rsidRPr="009971F6" w:rsidRDefault="00A4378B" w:rsidP="00D3677A">
            <w:pPr>
              <w:spacing w:line="360" w:lineRule="auto"/>
              <w:jc w:val="center"/>
            </w:pPr>
            <w:r w:rsidRPr="009971F6">
              <w:t>14,9%</w:t>
            </w:r>
          </w:p>
        </w:tc>
        <w:tc>
          <w:tcPr>
            <w:tcW w:w="769" w:type="dxa"/>
            <w:tcBorders>
              <w:top w:val="nil"/>
              <w:left w:val="nil"/>
              <w:bottom w:val="nil"/>
              <w:right w:val="nil"/>
            </w:tcBorders>
            <w:shd w:val="clear" w:color="auto" w:fill="auto"/>
            <w:noWrap/>
            <w:vAlign w:val="bottom"/>
            <w:hideMark/>
          </w:tcPr>
          <w:p w14:paraId="30BA1DC6" w14:textId="77777777" w:rsidR="00A4378B" w:rsidRPr="009971F6" w:rsidRDefault="00A4378B" w:rsidP="00D3677A">
            <w:pPr>
              <w:spacing w:line="360" w:lineRule="auto"/>
              <w:jc w:val="center"/>
            </w:pPr>
            <w:r w:rsidRPr="009971F6">
              <w:t>6,9%</w:t>
            </w:r>
          </w:p>
        </w:tc>
        <w:tc>
          <w:tcPr>
            <w:tcW w:w="769" w:type="dxa"/>
            <w:tcBorders>
              <w:top w:val="nil"/>
              <w:left w:val="nil"/>
              <w:bottom w:val="nil"/>
              <w:right w:val="nil"/>
            </w:tcBorders>
            <w:shd w:val="clear" w:color="auto" w:fill="auto"/>
            <w:noWrap/>
            <w:vAlign w:val="bottom"/>
            <w:hideMark/>
          </w:tcPr>
          <w:p w14:paraId="6F14F344" w14:textId="77777777" w:rsidR="00A4378B" w:rsidRPr="009971F6" w:rsidRDefault="00A4378B" w:rsidP="00D3677A">
            <w:pPr>
              <w:spacing w:line="360" w:lineRule="auto"/>
              <w:jc w:val="center"/>
            </w:pPr>
            <w:r w:rsidRPr="009971F6">
              <w:t>20,3%</w:t>
            </w:r>
          </w:p>
        </w:tc>
        <w:tc>
          <w:tcPr>
            <w:tcW w:w="769" w:type="dxa"/>
            <w:tcBorders>
              <w:top w:val="nil"/>
              <w:left w:val="nil"/>
              <w:bottom w:val="nil"/>
              <w:right w:val="nil"/>
            </w:tcBorders>
            <w:shd w:val="clear" w:color="auto" w:fill="auto"/>
            <w:noWrap/>
            <w:vAlign w:val="bottom"/>
            <w:hideMark/>
          </w:tcPr>
          <w:p w14:paraId="11C57CB4" w14:textId="77777777" w:rsidR="00A4378B" w:rsidRPr="009971F6" w:rsidRDefault="00A4378B" w:rsidP="00D3677A">
            <w:pPr>
              <w:spacing w:line="360" w:lineRule="auto"/>
              <w:jc w:val="center"/>
            </w:pPr>
            <w:r w:rsidRPr="009971F6">
              <w:t>6,6%</w:t>
            </w:r>
          </w:p>
        </w:tc>
      </w:tr>
      <w:tr w:rsidR="00274F99" w:rsidRPr="009971F6" w14:paraId="67015501" w14:textId="77777777" w:rsidTr="00274F99">
        <w:trPr>
          <w:trHeight w:val="246"/>
        </w:trPr>
        <w:tc>
          <w:tcPr>
            <w:tcW w:w="1369" w:type="dxa"/>
            <w:tcBorders>
              <w:top w:val="nil"/>
              <w:left w:val="nil"/>
              <w:bottom w:val="nil"/>
              <w:right w:val="nil"/>
            </w:tcBorders>
            <w:shd w:val="clear" w:color="auto" w:fill="auto"/>
            <w:noWrap/>
            <w:vAlign w:val="bottom"/>
            <w:hideMark/>
          </w:tcPr>
          <w:p w14:paraId="231B52E8" w14:textId="77777777" w:rsidR="00A4378B" w:rsidRPr="009971F6" w:rsidRDefault="00A4378B" w:rsidP="00D3677A">
            <w:pPr>
              <w:spacing w:line="360" w:lineRule="auto"/>
            </w:pPr>
            <w:r w:rsidRPr="009971F6">
              <w:t>Indústria</w:t>
            </w:r>
          </w:p>
        </w:tc>
        <w:tc>
          <w:tcPr>
            <w:tcW w:w="769" w:type="dxa"/>
            <w:tcBorders>
              <w:top w:val="nil"/>
              <w:left w:val="nil"/>
              <w:bottom w:val="nil"/>
              <w:right w:val="nil"/>
            </w:tcBorders>
            <w:shd w:val="clear" w:color="auto" w:fill="auto"/>
            <w:noWrap/>
            <w:vAlign w:val="bottom"/>
            <w:hideMark/>
          </w:tcPr>
          <w:p w14:paraId="6A4849FF" w14:textId="77777777" w:rsidR="00A4378B" w:rsidRPr="009971F6" w:rsidRDefault="00A4378B" w:rsidP="00D3677A">
            <w:pPr>
              <w:spacing w:line="360" w:lineRule="auto"/>
              <w:jc w:val="center"/>
            </w:pPr>
            <w:r w:rsidRPr="009971F6">
              <w:t>8,1%</w:t>
            </w:r>
          </w:p>
        </w:tc>
        <w:tc>
          <w:tcPr>
            <w:tcW w:w="769" w:type="dxa"/>
            <w:tcBorders>
              <w:top w:val="nil"/>
              <w:left w:val="nil"/>
              <w:bottom w:val="nil"/>
              <w:right w:val="nil"/>
            </w:tcBorders>
            <w:shd w:val="clear" w:color="auto" w:fill="auto"/>
            <w:noWrap/>
            <w:vAlign w:val="bottom"/>
            <w:hideMark/>
          </w:tcPr>
          <w:p w14:paraId="724BB2EB" w14:textId="77777777" w:rsidR="00A4378B" w:rsidRPr="009971F6" w:rsidRDefault="00A4378B" w:rsidP="00D3677A">
            <w:pPr>
              <w:spacing w:line="360" w:lineRule="auto"/>
              <w:jc w:val="center"/>
            </w:pPr>
            <w:r w:rsidRPr="009971F6">
              <w:t>12,4%</w:t>
            </w:r>
          </w:p>
        </w:tc>
        <w:tc>
          <w:tcPr>
            <w:tcW w:w="769" w:type="dxa"/>
            <w:tcBorders>
              <w:top w:val="nil"/>
              <w:left w:val="nil"/>
              <w:bottom w:val="nil"/>
              <w:right w:val="nil"/>
            </w:tcBorders>
            <w:shd w:val="clear" w:color="auto" w:fill="auto"/>
            <w:noWrap/>
            <w:vAlign w:val="bottom"/>
            <w:hideMark/>
          </w:tcPr>
          <w:p w14:paraId="5D1BE82A" w14:textId="77777777" w:rsidR="00A4378B" w:rsidRPr="009971F6" w:rsidRDefault="00A4378B" w:rsidP="00D3677A">
            <w:pPr>
              <w:spacing w:line="360" w:lineRule="auto"/>
              <w:jc w:val="center"/>
            </w:pPr>
            <w:r w:rsidRPr="009971F6">
              <w:t>37,3%</w:t>
            </w:r>
          </w:p>
        </w:tc>
        <w:tc>
          <w:tcPr>
            <w:tcW w:w="769" w:type="dxa"/>
            <w:tcBorders>
              <w:top w:val="nil"/>
              <w:left w:val="nil"/>
              <w:bottom w:val="nil"/>
              <w:right w:val="nil"/>
            </w:tcBorders>
            <w:shd w:val="clear" w:color="auto" w:fill="auto"/>
            <w:noWrap/>
            <w:vAlign w:val="bottom"/>
            <w:hideMark/>
          </w:tcPr>
          <w:p w14:paraId="12A68AC6" w14:textId="77777777" w:rsidR="00A4378B" w:rsidRPr="009971F6" w:rsidRDefault="00A4378B" w:rsidP="00D3677A">
            <w:pPr>
              <w:spacing w:line="360" w:lineRule="auto"/>
              <w:jc w:val="center"/>
            </w:pPr>
            <w:r w:rsidRPr="009971F6">
              <w:t>19,6%</w:t>
            </w:r>
          </w:p>
        </w:tc>
        <w:tc>
          <w:tcPr>
            <w:tcW w:w="769" w:type="dxa"/>
            <w:tcBorders>
              <w:top w:val="nil"/>
              <w:left w:val="nil"/>
              <w:bottom w:val="nil"/>
              <w:right w:val="nil"/>
            </w:tcBorders>
            <w:shd w:val="clear" w:color="auto" w:fill="auto"/>
            <w:noWrap/>
            <w:vAlign w:val="bottom"/>
            <w:hideMark/>
          </w:tcPr>
          <w:p w14:paraId="1A26768B" w14:textId="77777777" w:rsidR="00A4378B" w:rsidRPr="009971F6" w:rsidRDefault="00A4378B" w:rsidP="00D3677A">
            <w:pPr>
              <w:spacing w:line="360" w:lineRule="auto"/>
              <w:jc w:val="center"/>
            </w:pPr>
            <w:r w:rsidRPr="009971F6">
              <w:t>17,3%</w:t>
            </w:r>
          </w:p>
        </w:tc>
        <w:tc>
          <w:tcPr>
            <w:tcW w:w="769" w:type="dxa"/>
            <w:tcBorders>
              <w:top w:val="nil"/>
              <w:left w:val="nil"/>
              <w:bottom w:val="nil"/>
              <w:right w:val="nil"/>
            </w:tcBorders>
            <w:shd w:val="clear" w:color="auto" w:fill="auto"/>
            <w:noWrap/>
            <w:vAlign w:val="bottom"/>
            <w:hideMark/>
          </w:tcPr>
          <w:p w14:paraId="509E7734" w14:textId="77777777" w:rsidR="00A4378B" w:rsidRPr="009971F6" w:rsidRDefault="00A4378B" w:rsidP="00D3677A">
            <w:pPr>
              <w:spacing w:line="360" w:lineRule="auto"/>
              <w:jc w:val="center"/>
            </w:pPr>
            <w:r w:rsidRPr="009971F6">
              <w:t>42,5%</w:t>
            </w:r>
          </w:p>
        </w:tc>
        <w:tc>
          <w:tcPr>
            <w:tcW w:w="769" w:type="dxa"/>
            <w:tcBorders>
              <w:top w:val="nil"/>
              <w:left w:val="nil"/>
              <w:bottom w:val="nil"/>
              <w:right w:val="nil"/>
            </w:tcBorders>
            <w:shd w:val="clear" w:color="auto" w:fill="auto"/>
            <w:noWrap/>
            <w:vAlign w:val="bottom"/>
            <w:hideMark/>
          </w:tcPr>
          <w:p w14:paraId="6A4FF562" w14:textId="77777777" w:rsidR="00A4378B" w:rsidRPr="009971F6" w:rsidRDefault="00A4378B" w:rsidP="00D3677A">
            <w:pPr>
              <w:spacing w:line="360" w:lineRule="auto"/>
              <w:jc w:val="center"/>
            </w:pPr>
            <w:r w:rsidRPr="009971F6">
              <w:t>17,9%</w:t>
            </w:r>
          </w:p>
        </w:tc>
        <w:tc>
          <w:tcPr>
            <w:tcW w:w="769" w:type="dxa"/>
            <w:tcBorders>
              <w:top w:val="nil"/>
              <w:left w:val="nil"/>
              <w:bottom w:val="nil"/>
              <w:right w:val="nil"/>
            </w:tcBorders>
            <w:shd w:val="clear" w:color="auto" w:fill="auto"/>
            <w:noWrap/>
            <w:vAlign w:val="bottom"/>
            <w:hideMark/>
          </w:tcPr>
          <w:p w14:paraId="1885953C" w14:textId="77777777" w:rsidR="00A4378B" w:rsidRPr="009971F6" w:rsidRDefault="00A4378B" w:rsidP="00D3677A">
            <w:pPr>
              <w:spacing w:line="360" w:lineRule="auto"/>
              <w:jc w:val="center"/>
            </w:pPr>
            <w:r w:rsidRPr="009971F6">
              <w:t>11,7%</w:t>
            </w:r>
          </w:p>
        </w:tc>
        <w:tc>
          <w:tcPr>
            <w:tcW w:w="769" w:type="dxa"/>
            <w:tcBorders>
              <w:top w:val="nil"/>
              <w:left w:val="nil"/>
              <w:bottom w:val="nil"/>
              <w:right w:val="nil"/>
            </w:tcBorders>
            <w:shd w:val="clear" w:color="auto" w:fill="auto"/>
            <w:noWrap/>
            <w:vAlign w:val="bottom"/>
            <w:hideMark/>
          </w:tcPr>
          <w:p w14:paraId="57BAD019" w14:textId="77777777" w:rsidR="00A4378B" w:rsidRPr="009971F6" w:rsidRDefault="00A4378B" w:rsidP="00D3677A">
            <w:pPr>
              <w:spacing w:line="360" w:lineRule="auto"/>
              <w:jc w:val="center"/>
            </w:pPr>
            <w:r w:rsidRPr="009971F6">
              <w:t>11,2%</w:t>
            </w:r>
          </w:p>
        </w:tc>
        <w:tc>
          <w:tcPr>
            <w:tcW w:w="769" w:type="dxa"/>
            <w:tcBorders>
              <w:top w:val="nil"/>
              <w:left w:val="nil"/>
              <w:bottom w:val="nil"/>
              <w:right w:val="nil"/>
            </w:tcBorders>
            <w:shd w:val="clear" w:color="auto" w:fill="auto"/>
            <w:noWrap/>
            <w:vAlign w:val="bottom"/>
            <w:hideMark/>
          </w:tcPr>
          <w:p w14:paraId="34CE3CDA" w14:textId="77777777" w:rsidR="00A4378B" w:rsidRPr="009971F6" w:rsidRDefault="00A4378B" w:rsidP="00D3677A">
            <w:pPr>
              <w:spacing w:line="360" w:lineRule="auto"/>
              <w:jc w:val="center"/>
            </w:pPr>
            <w:r w:rsidRPr="009971F6">
              <w:t>22,5%</w:t>
            </w:r>
          </w:p>
        </w:tc>
      </w:tr>
      <w:tr w:rsidR="00274F99" w:rsidRPr="009971F6" w14:paraId="6C6712DE" w14:textId="77777777" w:rsidTr="00274F99">
        <w:trPr>
          <w:trHeight w:val="246"/>
        </w:trPr>
        <w:tc>
          <w:tcPr>
            <w:tcW w:w="1369" w:type="dxa"/>
            <w:tcBorders>
              <w:top w:val="nil"/>
              <w:left w:val="nil"/>
              <w:bottom w:val="nil"/>
              <w:right w:val="nil"/>
            </w:tcBorders>
            <w:shd w:val="clear" w:color="auto" w:fill="auto"/>
            <w:noWrap/>
            <w:vAlign w:val="bottom"/>
            <w:hideMark/>
          </w:tcPr>
          <w:p w14:paraId="3926F116" w14:textId="77777777" w:rsidR="00A4378B" w:rsidRPr="009971F6" w:rsidRDefault="00A4378B" w:rsidP="00D3677A">
            <w:pPr>
              <w:spacing w:line="360" w:lineRule="auto"/>
            </w:pPr>
            <w:r w:rsidRPr="009971F6">
              <w:t>Serviços</w:t>
            </w:r>
          </w:p>
        </w:tc>
        <w:tc>
          <w:tcPr>
            <w:tcW w:w="769" w:type="dxa"/>
            <w:tcBorders>
              <w:top w:val="nil"/>
              <w:left w:val="nil"/>
              <w:bottom w:val="nil"/>
              <w:right w:val="nil"/>
            </w:tcBorders>
            <w:shd w:val="clear" w:color="auto" w:fill="auto"/>
            <w:noWrap/>
            <w:vAlign w:val="bottom"/>
            <w:hideMark/>
          </w:tcPr>
          <w:p w14:paraId="25FBBE26" w14:textId="77777777" w:rsidR="00A4378B" w:rsidRPr="009971F6" w:rsidRDefault="00A4378B" w:rsidP="00D3677A">
            <w:pPr>
              <w:spacing w:line="360" w:lineRule="auto"/>
              <w:jc w:val="center"/>
            </w:pPr>
            <w:r w:rsidRPr="009971F6">
              <w:t>44,5%</w:t>
            </w:r>
          </w:p>
        </w:tc>
        <w:tc>
          <w:tcPr>
            <w:tcW w:w="769" w:type="dxa"/>
            <w:tcBorders>
              <w:top w:val="nil"/>
              <w:left w:val="nil"/>
              <w:bottom w:val="nil"/>
              <w:right w:val="nil"/>
            </w:tcBorders>
            <w:shd w:val="clear" w:color="auto" w:fill="auto"/>
            <w:noWrap/>
            <w:vAlign w:val="bottom"/>
            <w:hideMark/>
          </w:tcPr>
          <w:p w14:paraId="45BA7386" w14:textId="77777777" w:rsidR="00A4378B" w:rsidRPr="009971F6" w:rsidRDefault="00A4378B" w:rsidP="00D3677A">
            <w:pPr>
              <w:spacing w:line="360" w:lineRule="auto"/>
              <w:jc w:val="center"/>
            </w:pPr>
            <w:r w:rsidRPr="009971F6">
              <w:t>37,7%</w:t>
            </w:r>
          </w:p>
        </w:tc>
        <w:tc>
          <w:tcPr>
            <w:tcW w:w="769" w:type="dxa"/>
            <w:tcBorders>
              <w:top w:val="nil"/>
              <w:left w:val="nil"/>
              <w:bottom w:val="nil"/>
              <w:right w:val="nil"/>
            </w:tcBorders>
            <w:shd w:val="clear" w:color="auto" w:fill="auto"/>
            <w:noWrap/>
            <w:vAlign w:val="bottom"/>
            <w:hideMark/>
          </w:tcPr>
          <w:p w14:paraId="1CEEAC9B" w14:textId="77777777" w:rsidR="00A4378B" w:rsidRPr="009971F6" w:rsidRDefault="00A4378B" w:rsidP="00D3677A">
            <w:pPr>
              <w:spacing w:line="360" w:lineRule="auto"/>
              <w:jc w:val="center"/>
            </w:pPr>
            <w:r w:rsidRPr="009971F6">
              <w:t>36,3%</w:t>
            </w:r>
          </w:p>
        </w:tc>
        <w:tc>
          <w:tcPr>
            <w:tcW w:w="769" w:type="dxa"/>
            <w:tcBorders>
              <w:top w:val="nil"/>
              <w:left w:val="nil"/>
              <w:bottom w:val="nil"/>
              <w:right w:val="nil"/>
            </w:tcBorders>
            <w:shd w:val="clear" w:color="auto" w:fill="auto"/>
            <w:noWrap/>
            <w:vAlign w:val="bottom"/>
            <w:hideMark/>
          </w:tcPr>
          <w:p w14:paraId="0B607062" w14:textId="77777777" w:rsidR="00A4378B" w:rsidRPr="009971F6" w:rsidRDefault="00A4378B" w:rsidP="00D3677A">
            <w:pPr>
              <w:spacing w:line="360" w:lineRule="auto"/>
              <w:jc w:val="center"/>
            </w:pPr>
            <w:r w:rsidRPr="009971F6">
              <w:t>41,8%</w:t>
            </w:r>
          </w:p>
        </w:tc>
        <w:tc>
          <w:tcPr>
            <w:tcW w:w="769" w:type="dxa"/>
            <w:tcBorders>
              <w:top w:val="nil"/>
              <w:left w:val="nil"/>
              <w:bottom w:val="nil"/>
              <w:right w:val="nil"/>
            </w:tcBorders>
            <w:shd w:val="clear" w:color="auto" w:fill="auto"/>
            <w:noWrap/>
            <w:vAlign w:val="bottom"/>
            <w:hideMark/>
          </w:tcPr>
          <w:p w14:paraId="0DC40A50" w14:textId="77777777" w:rsidR="00A4378B" w:rsidRPr="009971F6" w:rsidRDefault="00A4378B" w:rsidP="00D3677A">
            <w:pPr>
              <w:spacing w:line="360" w:lineRule="auto"/>
              <w:jc w:val="center"/>
            </w:pPr>
            <w:r w:rsidRPr="009971F6">
              <w:t>39,0%</w:t>
            </w:r>
          </w:p>
        </w:tc>
        <w:tc>
          <w:tcPr>
            <w:tcW w:w="769" w:type="dxa"/>
            <w:tcBorders>
              <w:top w:val="nil"/>
              <w:left w:val="nil"/>
              <w:bottom w:val="nil"/>
              <w:right w:val="nil"/>
            </w:tcBorders>
            <w:shd w:val="clear" w:color="auto" w:fill="auto"/>
            <w:noWrap/>
            <w:vAlign w:val="bottom"/>
            <w:hideMark/>
          </w:tcPr>
          <w:p w14:paraId="34CC6712" w14:textId="77777777" w:rsidR="00A4378B" w:rsidRPr="009971F6" w:rsidRDefault="00A4378B" w:rsidP="00D3677A">
            <w:pPr>
              <w:spacing w:line="360" w:lineRule="auto"/>
              <w:jc w:val="center"/>
            </w:pPr>
            <w:r w:rsidRPr="009971F6">
              <w:t>28,5%</w:t>
            </w:r>
          </w:p>
        </w:tc>
        <w:tc>
          <w:tcPr>
            <w:tcW w:w="769" w:type="dxa"/>
            <w:tcBorders>
              <w:top w:val="nil"/>
              <w:left w:val="nil"/>
              <w:bottom w:val="nil"/>
              <w:right w:val="nil"/>
            </w:tcBorders>
            <w:shd w:val="clear" w:color="auto" w:fill="auto"/>
            <w:noWrap/>
            <w:vAlign w:val="bottom"/>
            <w:hideMark/>
          </w:tcPr>
          <w:p w14:paraId="209AE65F" w14:textId="77777777" w:rsidR="00A4378B" w:rsidRPr="009971F6" w:rsidRDefault="00A4378B" w:rsidP="00D3677A">
            <w:pPr>
              <w:spacing w:line="360" w:lineRule="auto"/>
              <w:jc w:val="center"/>
            </w:pPr>
            <w:r w:rsidRPr="009971F6">
              <w:t>41,2%</w:t>
            </w:r>
          </w:p>
        </w:tc>
        <w:tc>
          <w:tcPr>
            <w:tcW w:w="769" w:type="dxa"/>
            <w:tcBorders>
              <w:top w:val="nil"/>
              <w:left w:val="nil"/>
              <w:bottom w:val="nil"/>
              <w:right w:val="nil"/>
            </w:tcBorders>
            <w:shd w:val="clear" w:color="auto" w:fill="auto"/>
            <w:noWrap/>
            <w:vAlign w:val="bottom"/>
            <w:hideMark/>
          </w:tcPr>
          <w:p w14:paraId="71849344" w14:textId="77777777" w:rsidR="00A4378B" w:rsidRPr="009971F6" w:rsidRDefault="00A4378B" w:rsidP="00D3677A">
            <w:pPr>
              <w:spacing w:line="360" w:lineRule="auto"/>
              <w:jc w:val="center"/>
            </w:pPr>
            <w:r w:rsidRPr="009971F6">
              <w:t>36,3%</w:t>
            </w:r>
          </w:p>
        </w:tc>
        <w:tc>
          <w:tcPr>
            <w:tcW w:w="769" w:type="dxa"/>
            <w:tcBorders>
              <w:top w:val="nil"/>
              <w:left w:val="nil"/>
              <w:bottom w:val="nil"/>
              <w:right w:val="nil"/>
            </w:tcBorders>
            <w:shd w:val="clear" w:color="auto" w:fill="auto"/>
            <w:noWrap/>
            <w:vAlign w:val="bottom"/>
            <w:hideMark/>
          </w:tcPr>
          <w:p w14:paraId="06127FDB" w14:textId="77777777" w:rsidR="00A4378B" w:rsidRPr="009971F6" w:rsidRDefault="00A4378B" w:rsidP="00D3677A">
            <w:pPr>
              <w:spacing w:line="360" w:lineRule="auto"/>
              <w:jc w:val="center"/>
            </w:pPr>
            <w:r w:rsidRPr="009971F6">
              <w:t>39,6%</w:t>
            </w:r>
          </w:p>
        </w:tc>
        <w:tc>
          <w:tcPr>
            <w:tcW w:w="769" w:type="dxa"/>
            <w:tcBorders>
              <w:top w:val="nil"/>
              <w:left w:val="nil"/>
              <w:bottom w:val="nil"/>
              <w:right w:val="nil"/>
            </w:tcBorders>
            <w:shd w:val="clear" w:color="auto" w:fill="auto"/>
            <w:noWrap/>
            <w:vAlign w:val="bottom"/>
            <w:hideMark/>
          </w:tcPr>
          <w:p w14:paraId="0EBFBA9F" w14:textId="77777777" w:rsidR="00A4378B" w:rsidRPr="009971F6" w:rsidRDefault="00A4378B" w:rsidP="00D3677A">
            <w:pPr>
              <w:spacing w:line="360" w:lineRule="auto"/>
              <w:jc w:val="center"/>
            </w:pPr>
            <w:r w:rsidRPr="009971F6">
              <w:t>53,5%</w:t>
            </w:r>
          </w:p>
        </w:tc>
      </w:tr>
      <w:tr w:rsidR="00274F99" w:rsidRPr="009971F6" w14:paraId="289007E6" w14:textId="77777777" w:rsidTr="00274F99">
        <w:trPr>
          <w:trHeight w:val="246"/>
        </w:trPr>
        <w:tc>
          <w:tcPr>
            <w:tcW w:w="1369" w:type="dxa"/>
            <w:tcBorders>
              <w:top w:val="nil"/>
              <w:left w:val="nil"/>
              <w:bottom w:val="single" w:sz="4" w:space="0" w:color="auto"/>
              <w:right w:val="nil"/>
            </w:tcBorders>
            <w:shd w:val="clear" w:color="auto" w:fill="auto"/>
            <w:noWrap/>
            <w:vAlign w:val="bottom"/>
            <w:hideMark/>
          </w:tcPr>
          <w:p w14:paraId="494BB5D3" w14:textId="77777777" w:rsidR="00A4378B" w:rsidRPr="009971F6" w:rsidRDefault="00A4378B" w:rsidP="00D3677A">
            <w:pPr>
              <w:spacing w:line="360" w:lineRule="auto"/>
            </w:pPr>
            <w:r w:rsidRPr="009971F6">
              <w:t>Público</w:t>
            </w:r>
          </w:p>
        </w:tc>
        <w:tc>
          <w:tcPr>
            <w:tcW w:w="769" w:type="dxa"/>
            <w:tcBorders>
              <w:top w:val="nil"/>
              <w:left w:val="nil"/>
              <w:bottom w:val="single" w:sz="4" w:space="0" w:color="auto"/>
              <w:right w:val="nil"/>
            </w:tcBorders>
            <w:shd w:val="clear" w:color="auto" w:fill="auto"/>
            <w:noWrap/>
            <w:vAlign w:val="bottom"/>
            <w:hideMark/>
          </w:tcPr>
          <w:p w14:paraId="788B3E22" w14:textId="77777777" w:rsidR="00A4378B" w:rsidRPr="009971F6" w:rsidRDefault="00A4378B" w:rsidP="00D3677A">
            <w:pPr>
              <w:spacing w:line="360" w:lineRule="auto"/>
              <w:jc w:val="center"/>
            </w:pPr>
            <w:r w:rsidRPr="009971F6">
              <w:t>40,8%</w:t>
            </w:r>
          </w:p>
        </w:tc>
        <w:tc>
          <w:tcPr>
            <w:tcW w:w="769" w:type="dxa"/>
            <w:tcBorders>
              <w:top w:val="nil"/>
              <w:left w:val="nil"/>
              <w:bottom w:val="single" w:sz="4" w:space="0" w:color="auto"/>
              <w:right w:val="nil"/>
            </w:tcBorders>
            <w:shd w:val="clear" w:color="auto" w:fill="auto"/>
            <w:noWrap/>
            <w:vAlign w:val="bottom"/>
            <w:hideMark/>
          </w:tcPr>
          <w:p w14:paraId="10DBA06E" w14:textId="77777777" w:rsidR="00A4378B" w:rsidRPr="009971F6" w:rsidRDefault="00A4378B" w:rsidP="00D3677A">
            <w:pPr>
              <w:spacing w:line="360" w:lineRule="auto"/>
              <w:jc w:val="center"/>
            </w:pPr>
            <w:r w:rsidRPr="009971F6">
              <w:t>48,0%</w:t>
            </w:r>
          </w:p>
        </w:tc>
        <w:tc>
          <w:tcPr>
            <w:tcW w:w="769" w:type="dxa"/>
            <w:tcBorders>
              <w:top w:val="nil"/>
              <w:left w:val="nil"/>
              <w:bottom w:val="single" w:sz="4" w:space="0" w:color="auto"/>
              <w:right w:val="nil"/>
            </w:tcBorders>
            <w:shd w:val="clear" w:color="auto" w:fill="auto"/>
            <w:noWrap/>
            <w:vAlign w:val="bottom"/>
            <w:hideMark/>
          </w:tcPr>
          <w:p w14:paraId="54A65C06" w14:textId="77777777" w:rsidR="00A4378B" w:rsidRPr="009971F6" w:rsidRDefault="00A4378B" w:rsidP="00D3677A">
            <w:pPr>
              <w:spacing w:line="360" w:lineRule="auto"/>
              <w:jc w:val="center"/>
            </w:pPr>
            <w:r w:rsidRPr="009971F6">
              <w:t>21,1%</w:t>
            </w:r>
          </w:p>
        </w:tc>
        <w:tc>
          <w:tcPr>
            <w:tcW w:w="769" w:type="dxa"/>
            <w:tcBorders>
              <w:top w:val="nil"/>
              <w:left w:val="nil"/>
              <w:bottom w:val="single" w:sz="4" w:space="0" w:color="auto"/>
              <w:right w:val="nil"/>
            </w:tcBorders>
            <w:shd w:val="clear" w:color="auto" w:fill="auto"/>
            <w:noWrap/>
            <w:vAlign w:val="bottom"/>
            <w:hideMark/>
          </w:tcPr>
          <w:p w14:paraId="0D2537A3" w14:textId="77777777" w:rsidR="00A4378B" w:rsidRPr="009971F6" w:rsidRDefault="00A4378B" w:rsidP="00D3677A">
            <w:pPr>
              <w:spacing w:line="360" w:lineRule="auto"/>
              <w:jc w:val="center"/>
            </w:pPr>
            <w:r w:rsidRPr="009971F6">
              <w:t>26,0%</w:t>
            </w:r>
          </w:p>
        </w:tc>
        <w:tc>
          <w:tcPr>
            <w:tcW w:w="769" w:type="dxa"/>
            <w:tcBorders>
              <w:top w:val="nil"/>
              <w:left w:val="nil"/>
              <w:bottom w:val="single" w:sz="4" w:space="0" w:color="auto"/>
              <w:right w:val="nil"/>
            </w:tcBorders>
            <w:shd w:val="clear" w:color="auto" w:fill="auto"/>
            <w:noWrap/>
            <w:vAlign w:val="bottom"/>
            <w:hideMark/>
          </w:tcPr>
          <w:p w14:paraId="67D41971" w14:textId="77777777" w:rsidR="00A4378B" w:rsidRPr="009971F6" w:rsidRDefault="00A4378B" w:rsidP="00D3677A">
            <w:pPr>
              <w:spacing w:line="360" w:lineRule="auto"/>
              <w:jc w:val="center"/>
            </w:pPr>
            <w:r w:rsidRPr="009971F6">
              <w:t>14,8%</w:t>
            </w:r>
          </w:p>
        </w:tc>
        <w:tc>
          <w:tcPr>
            <w:tcW w:w="769" w:type="dxa"/>
            <w:tcBorders>
              <w:top w:val="nil"/>
              <w:left w:val="nil"/>
              <w:bottom w:val="single" w:sz="4" w:space="0" w:color="auto"/>
              <w:right w:val="nil"/>
            </w:tcBorders>
            <w:shd w:val="clear" w:color="auto" w:fill="auto"/>
            <w:noWrap/>
            <w:vAlign w:val="bottom"/>
            <w:hideMark/>
          </w:tcPr>
          <w:p w14:paraId="4EE0EADA" w14:textId="77777777" w:rsidR="00A4378B" w:rsidRPr="009971F6" w:rsidRDefault="00A4378B" w:rsidP="00D3677A">
            <w:pPr>
              <w:spacing w:line="360" w:lineRule="auto"/>
              <w:jc w:val="center"/>
            </w:pPr>
            <w:r w:rsidRPr="009971F6">
              <w:t>19,0%</w:t>
            </w:r>
          </w:p>
        </w:tc>
        <w:tc>
          <w:tcPr>
            <w:tcW w:w="769" w:type="dxa"/>
            <w:tcBorders>
              <w:top w:val="nil"/>
              <w:left w:val="nil"/>
              <w:bottom w:val="single" w:sz="4" w:space="0" w:color="auto"/>
              <w:right w:val="nil"/>
            </w:tcBorders>
            <w:shd w:val="clear" w:color="auto" w:fill="auto"/>
            <w:noWrap/>
            <w:vAlign w:val="bottom"/>
            <w:hideMark/>
          </w:tcPr>
          <w:p w14:paraId="259E8F21" w14:textId="77777777" w:rsidR="00A4378B" w:rsidRPr="009971F6" w:rsidRDefault="00A4378B" w:rsidP="00D3677A">
            <w:pPr>
              <w:spacing w:line="360" w:lineRule="auto"/>
              <w:jc w:val="center"/>
            </w:pPr>
            <w:r w:rsidRPr="009971F6">
              <w:t>26,0%</w:t>
            </w:r>
          </w:p>
        </w:tc>
        <w:tc>
          <w:tcPr>
            <w:tcW w:w="769" w:type="dxa"/>
            <w:tcBorders>
              <w:top w:val="nil"/>
              <w:left w:val="nil"/>
              <w:bottom w:val="single" w:sz="4" w:space="0" w:color="auto"/>
              <w:right w:val="nil"/>
            </w:tcBorders>
            <w:shd w:val="clear" w:color="auto" w:fill="auto"/>
            <w:noWrap/>
            <w:vAlign w:val="bottom"/>
            <w:hideMark/>
          </w:tcPr>
          <w:p w14:paraId="4EE5A7F9" w14:textId="77777777" w:rsidR="00A4378B" w:rsidRPr="009971F6" w:rsidRDefault="00A4378B" w:rsidP="00D3677A">
            <w:pPr>
              <w:spacing w:line="360" w:lineRule="auto"/>
              <w:jc w:val="center"/>
            </w:pPr>
            <w:r w:rsidRPr="009971F6">
              <w:t>45,0%</w:t>
            </w:r>
          </w:p>
        </w:tc>
        <w:tc>
          <w:tcPr>
            <w:tcW w:w="769" w:type="dxa"/>
            <w:tcBorders>
              <w:top w:val="nil"/>
              <w:left w:val="nil"/>
              <w:bottom w:val="single" w:sz="4" w:space="0" w:color="auto"/>
              <w:right w:val="nil"/>
            </w:tcBorders>
            <w:shd w:val="clear" w:color="auto" w:fill="auto"/>
            <w:noWrap/>
            <w:vAlign w:val="bottom"/>
            <w:hideMark/>
          </w:tcPr>
          <w:p w14:paraId="5B69E421" w14:textId="77777777" w:rsidR="00A4378B" w:rsidRPr="009971F6" w:rsidRDefault="00A4378B" w:rsidP="00D3677A">
            <w:pPr>
              <w:spacing w:line="360" w:lineRule="auto"/>
              <w:jc w:val="center"/>
            </w:pPr>
            <w:r w:rsidRPr="009971F6">
              <w:t>28,9%</w:t>
            </w:r>
          </w:p>
        </w:tc>
        <w:tc>
          <w:tcPr>
            <w:tcW w:w="769" w:type="dxa"/>
            <w:tcBorders>
              <w:top w:val="nil"/>
              <w:left w:val="nil"/>
              <w:bottom w:val="single" w:sz="4" w:space="0" w:color="auto"/>
              <w:right w:val="nil"/>
            </w:tcBorders>
            <w:shd w:val="clear" w:color="auto" w:fill="auto"/>
            <w:noWrap/>
            <w:vAlign w:val="bottom"/>
            <w:hideMark/>
          </w:tcPr>
          <w:p w14:paraId="0861BCAE" w14:textId="77777777" w:rsidR="00A4378B" w:rsidRPr="009971F6" w:rsidRDefault="00A4378B" w:rsidP="00D3677A">
            <w:pPr>
              <w:spacing w:line="360" w:lineRule="auto"/>
              <w:jc w:val="center"/>
            </w:pPr>
            <w:r w:rsidRPr="009971F6">
              <w:t>17,5%</w:t>
            </w:r>
          </w:p>
        </w:tc>
      </w:tr>
    </w:tbl>
    <w:p w14:paraId="388BCE3C" w14:textId="77777777" w:rsidR="00A4378B" w:rsidRPr="009971F6" w:rsidRDefault="00A4378B" w:rsidP="00A972A9">
      <w:pPr>
        <w:pStyle w:val="TextoCorridoABNT"/>
        <w:ind w:firstLine="0"/>
      </w:pPr>
      <w:r w:rsidRPr="009971F6">
        <w:t>Nota:</w:t>
      </w:r>
      <w:r w:rsidR="00274F99" w:rsidRPr="009971F6">
        <w:t xml:space="preserve"> </w:t>
      </w:r>
      <w:r w:rsidRPr="009971F6">
        <w:t>* Maranhão, apenas os 181 munícipios que fazem parte da Amazônia Legal.</w:t>
      </w:r>
    </w:p>
    <w:p w14:paraId="667398CE" w14:textId="5EBF3F33" w:rsidR="00A4378B" w:rsidRPr="009971F6" w:rsidRDefault="00A4378B" w:rsidP="00A972A9">
      <w:pPr>
        <w:pStyle w:val="TextoCorridoABNT"/>
        <w:ind w:firstLine="0"/>
      </w:pPr>
      <w:r w:rsidRPr="009971F6">
        <w:t>Fonte: IBGE (2020)</w:t>
      </w:r>
      <w:r w:rsidR="00771E5A" w:rsidRPr="009971F6">
        <w:t>.</w:t>
      </w:r>
    </w:p>
    <w:p w14:paraId="7BB9FBD6" w14:textId="77777777" w:rsidR="00207674" w:rsidRPr="009971F6" w:rsidRDefault="00207674" w:rsidP="00D3677A">
      <w:pPr>
        <w:pStyle w:val="TextoCorridoABNT"/>
        <w:rPr>
          <w:rFonts w:ascii="Calibri" w:hAnsi="Calibri"/>
          <w:sz w:val="20"/>
          <w:szCs w:val="20"/>
        </w:rPr>
      </w:pPr>
      <w:r w:rsidRPr="009971F6">
        <w:rPr>
          <w:bdr w:val="none" w:sz="0" w:space="0" w:color="auto" w:frame="1"/>
        </w:rPr>
        <w:lastRenderedPageBreak/>
        <w:t> </w:t>
      </w:r>
    </w:p>
    <w:p w14:paraId="28FF3B40" w14:textId="6199D369" w:rsidR="00207674" w:rsidRPr="009971F6" w:rsidRDefault="00207674" w:rsidP="00D3677A">
      <w:pPr>
        <w:pStyle w:val="TextoCorridoABNT"/>
        <w:rPr>
          <w:bdr w:val="none" w:sz="0" w:space="0" w:color="auto" w:frame="1"/>
        </w:rPr>
      </w:pPr>
      <w:r w:rsidRPr="009971F6">
        <w:rPr>
          <w:bdr w:val="none" w:sz="0" w:space="0" w:color="auto" w:frame="1"/>
        </w:rPr>
        <w:t xml:space="preserve">A região é marcada por uma alta heterogeneidade na densidade </w:t>
      </w:r>
      <w:r w:rsidR="00A4378B" w:rsidRPr="009971F6">
        <w:rPr>
          <w:bdr w:val="none" w:sz="0" w:space="0" w:color="auto" w:frame="1"/>
        </w:rPr>
        <w:t>demográfica</w:t>
      </w:r>
      <w:r w:rsidRPr="009971F6">
        <w:rPr>
          <w:bdr w:val="none" w:sz="0" w:space="0" w:color="auto" w:frame="1"/>
        </w:rPr>
        <w:t xml:space="preserve">. As regiões com maiores populações estão localizadas majoritariamente em capitais de estados e áreas próximas. Já as regiões de menor densidade demográfica são caracterizadas por povoamentos rurais dispersos. As regiões remotas e de </w:t>
      </w:r>
      <w:r w:rsidR="00701750" w:rsidRPr="009971F6">
        <w:rPr>
          <w:bdr w:val="none" w:sz="0" w:space="0" w:color="auto" w:frame="1"/>
        </w:rPr>
        <w:t>difícil</w:t>
      </w:r>
      <w:r w:rsidRPr="009971F6">
        <w:rPr>
          <w:bdr w:val="none" w:sz="0" w:space="0" w:color="auto" w:frame="1"/>
        </w:rPr>
        <w:t xml:space="preserve"> acesso são marcadas por unidades de conservação ambiental e terras indígenas. </w:t>
      </w:r>
      <w:r w:rsidR="006C30E4" w:rsidRPr="009971F6">
        <w:rPr>
          <w:bdr w:val="none" w:sz="0" w:space="0" w:color="auto" w:frame="1"/>
        </w:rPr>
        <w:t xml:space="preserve">A depender </w:t>
      </w:r>
      <w:r w:rsidR="003622DE" w:rsidRPr="009971F6">
        <w:rPr>
          <w:bdr w:val="none" w:sz="0" w:space="0" w:color="auto" w:frame="1"/>
        </w:rPr>
        <w:t>do momento</w:t>
      </w:r>
      <w:r w:rsidR="006C30E4" w:rsidRPr="009971F6">
        <w:rPr>
          <w:bdr w:val="none" w:sz="0" w:space="0" w:color="auto" w:frame="1"/>
        </w:rPr>
        <w:t xml:space="preserve"> da</w:t>
      </w:r>
      <w:r w:rsidRPr="009971F6">
        <w:rPr>
          <w:bdr w:val="none" w:sz="0" w:space="0" w:color="auto" w:frame="1"/>
        </w:rPr>
        <w:t xml:space="preserve"> expansão </w:t>
      </w:r>
      <w:r w:rsidR="006C30E4" w:rsidRPr="009971F6">
        <w:rPr>
          <w:bdr w:val="none" w:sz="0" w:space="0" w:color="auto" w:frame="1"/>
        </w:rPr>
        <w:t>agrícola</w:t>
      </w:r>
      <w:r w:rsidRPr="009971F6">
        <w:rPr>
          <w:bdr w:val="none" w:sz="0" w:space="0" w:color="auto" w:frame="1"/>
        </w:rPr>
        <w:t>, os povoamentos podem exercem alta ou baixa pressão sobre as florestas da região</w:t>
      </w:r>
      <w:r w:rsidR="00392499" w:rsidRPr="009971F6">
        <w:rPr>
          <w:bdr w:val="none" w:sz="0" w:space="0" w:color="auto" w:frame="1"/>
        </w:rPr>
        <w:t xml:space="preserve"> (</w:t>
      </w:r>
      <w:r w:rsidR="0059782A" w:rsidRPr="009971F6">
        <w:rPr>
          <w:bdr w:val="none" w:sz="0" w:space="0" w:color="auto" w:frame="1"/>
        </w:rPr>
        <w:t>SARAIVA</w:t>
      </w:r>
      <w:r w:rsidR="00392499" w:rsidRPr="009971F6">
        <w:rPr>
          <w:bdr w:val="none" w:sz="0" w:space="0" w:color="auto" w:frame="1"/>
        </w:rPr>
        <w:t xml:space="preserve">, </w:t>
      </w:r>
      <w:r w:rsidR="0059782A" w:rsidRPr="009971F6">
        <w:rPr>
          <w:bdr w:val="none" w:sz="0" w:space="0" w:color="auto" w:frame="1"/>
        </w:rPr>
        <w:t>2020</w:t>
      </w:r>
      <w:r w:rsidR="00392499" w:rsidRPr="009971F6">
        <w:rPr>
          <w:bdr w:val="none" w:sz="0" w:space="0" w:color="auto" w:frame="1"/>
        </w:rPr>
        <w:t>)</w:t>
      </w:r>
      <w:r w:rsidRPr="009971F6">
        <w:rPr>
          <w:bdr w:val="none" w:sz="0" w:space="0" w:color="auto" w:frame="1"/>
        </w:rPr>
        <w:t>.</w:t>
      </w:r>
    </w:p>
    <w:p w14:paraId="575F704D" w14:textId="77777777" w:rsidR="00A972A9" w:rsidRPr="009971F6" w:rsidRDefault="00A972A9" w:rsidP="00A972A9">
      <w:pPr>
        <w:pStyle w:val="Ttulo2"/>
        <w:spacing w:before="0" w:after="0"/>
        <w:ind w:firstLine="0"/>
        <w:rPr>
          <w:bdr w:val="none" w:sz="0" w:space="0" w:color="auto" w:frame="1"/>
        </w:rPr>
      </w:pPr>
      <w:bookmarkStart w:id="4" w:name="_Toc130219018"/>
    </w:p>
    <w:p w14:paraId="07D3FBD0" w14:textId="37732501" w:rsidR="00257C15" w:rsidRPr="009971F6" w:rsidRDefault="00257C15" w:rsidP="00A972A9">
      <w:pPr>
        <w:pStyle w:val="Ttulo2"/>
        <w:spacing w:before="0" w:after="0"/>
        <w:ind w:firstLine="0"/>
        <w:rPr>
          <w:b/>
          <w:bCs/>
          <w:bdr w:val="none" w:sz="0" w:space="0" w:color="auto" w:frame="1"/>
        </w:rPr>
      </w:pPr>
      <w:r w:rsidRPr="009971F6">
        <w:rPr>
          <w:b/>
          <w:bCs/>
          <w:bdr w:val="none" w:sz="0" w:space="0" w:color="auto" w:frame="1"/>
        </w:rPr>
        <w:t xml:space="preserve">2.2 </w:t>
      </w:r>
      <w:r w:rsidR="00A972A9" w:rsidRPr="009971F6">
        <w:rPr>
          <w:b/>
          <w:bCs/>
          <w:bdr w:val="none" w:sz="0" w:space="0" w:color="auto" w:frame="1"/>
        </w:rPr>
        <w:t xml:space="preserve">O desmatamento na </w:t>
      </w:r>
      <w:bookmarkEnd w:id="4"/>
      <w:r w:rsidR="00A972A9" w:rsidRPr="009971F6">
        <w:rPr>
          <w:b/>
          <w:bCs/>
          <w:bdr w:val="none" w:sz="0" w:space="0" w:color="auto" w:frame="1"/>
        </w:rPr>
        <w:t>Amazônia</w:t>
      </w:r>
    </w:p>
    <w:p w14:paraId="70603A73" w14:textId="5AEF0B97" w:rsidR="009F78EC" w:rsidRPr="009971F6" w:rsidRDefault="00257C15" w:rsidP="00D3677A">
      <w:pPr>
        <w:pStyle w:val="TextoCorridoABNT"/>
        <w:rPr>
          <w:bdr w:val="none" w:sz="0" w:space="0" w:color="auto" w:frame="1"/>
        </w:rPr>
      </w:pPr>
      <w:r w:rsidRPr="009971F6">
        <w:rPr>
          <w:bdr w:val="none" w:sz="0" w:space="0" w:color="auto" w:frame="1"/>
        </w:rPr>
        <w:t>A região amazônica apresenta altos níveis de desmatamento desde o século XIX.  Políticas de colonização, expansão da fronteira agrícola e incentivos fiscais são alguns dos fatores determinantes para a evolução dos níveis do desmatamento na região</w:t>
      </w:r>
      <w:r w:rsidR="000459A6" w:rsidRPr="009971F6">
        <w:rPr>
          <w:bdr w:val="none" w:sz="0" w:space="0" w:color="auto" w:frame="1"/>
        </w:rPr>
        <w:t>.</w:t>
      </w:r>
      <w:r w:rsidRPr="009971F6">
        <w:rPr>
          <w:bdr w:val="none" w:sz="0" w:space="0" w:color="auto" w:frame="1"/>
        </w:rPr>
        <w:t xml:space="preserve"> </w:t>
      </w:r>
      <w:r w:rsidR="00807E75" w:rsidRPr="009971F6">
        <w:rPr>
          <w:bdr w:val="none" w:sz="0" w:space="0" w:color="auto" w:frame="1"/>
        </w:rPr>
        <w:t>Ao longo dos últimos anos pode-se observar uma redução na taxa de desmatamento na Amazônia legal (Figura 2), todavia esta não é acompanhada pelo aumento da cobertura florestal</w:t>
      </w:r>
      <w:r w:rsidR="009F78EC" w:rsidRPr="009971F6">
        <w:rPr>
          <w:bdr w:val="none" w:sz="0" w:space="0" w:color="auto" w:frame="1"/>
        </w:rPr>
        <w:t xml:space="preserve"> (SARAIVA, 2017)</w:t>
      </w:r>
      <w:r w:rsidR="000459A6" w:rsidRPr="009971F6">
        <w:rPr>
          <w:bdr w:val="none" w:sz="0" w:space="0" w:color="auto" w:frame="1"/>
        </w:rPr>
        <w:t>.</w:t>
      </w:r>
    </w:p>
    <w:p w14:paraId="34D6DC04" w14:textId="77777777" w:rsidR="00A972A9" w:rsidRPr="009971F6" w:rsidRDefault="00A972A9" w:rsidP="00A972A9">
      <w:pPr>
        <w:pStyle w:val="TextoCorridoABNT"/>
        <w:ind w:firstLine="0"/>
        <w:rPr>
          <w:b/>
          <w:bCs/>
          <w:bdr w:val="none" w:sz="0" w:space="0" w:color="auto" w:frame="1"/>
        </w:rPr>
      </w:pPr>
    </w:p>
    <w:p w14:paraId="000CE8E8" w14:textId="03642B1E" w:rsidR="00807E75" w:rsidRPr="009971F6" w:rsidRDefault="00807E75" w:rsidP="00A972A9">
      <w:pPr>
        <w:pStyle w:val="TextoCorridoABNT"/>
        <w:ind w:firstLine="0"/>
        <w:rPr>
          <w:bdr w:val="none" w:sz="0" w:space="0" w:color="auto" w:frame="1"/>
        </w:rPr>
      </w:pPr>
      <w:r w:rsidRPr="009971F6">
        <w:rPr>
          <w:b/>
          <w:bCs/>
          <w:bdr w:val="none" w:sz="0" w:space="0" w:color="auto" w:frame="1"/>
        </w:rPr>
        <w:t xml:space="preserve">Figura 2. </w:t>
      </w:r>
      <w:r w:rsidRPr="009971F6">
        <w:rPr>
          <w:bdr w:val="none" w:sz="0" w:space="0" w:color="auto" w:frame="1"/>
        </w:rPr>
        <w:t xml:space="preserve"> Taxa de desmatamento na Amazônia Legal.</w:t>
      </w:r>
    </w:p>
    <w:p w14:paraId="7F3EDF37" w14:textId="5A410450" w:rsidR="00807E75" w:rsidRPr="009971F6" w:rsidRDefault="00807E75" w:rsidP="00A972A9">
      <w:pPr>
        <w:pStyle w:val="TextoCorridoABNT"/>
        <w:ind w:firstLine="0"/>
        <w:rPr>
          <w:bdr w:val="none" w:sz="0" w:space="0" w:color="auto" w:frame="1"/>
        </w:rPr>
      </w:pPr>
      <w:r w:rsidRPr="009971F6">
        <w:rPr>
          <w:noProof/>
          <w:bdr w:val="none" w:sz="0" w:space="0" w:color="auto" w:frame="1"/>
        </w:rPr>
        <w:drawing>
          <wp:inline distT="0" distB="0" distL="0" distR="0" wp14:anchorId="0DD0A1B3" wp14:editId="53F0DC51">
            <wp:extent cx="577342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2743200"/>
                    </a:xfrm>
                    <a:prstGeom prst="rect">
                      <a:avLst/>
                    </a:prstGeom>
                    <a:noFill/>
                  </pic:spPr>
                </pic:pic>
              </a:graphicData>
            </a:graphic>
          </wp:inline>
        </w:drawing>
      </w:r>
    </w:p>
    <w:p w14:paraId="661C4A5C" w14:textId="7EEFA6D9" w:rsidR="00807E75" w:rsidRPr="009971F6" w:rsidRDefault="00807E75" w:rsidP="00A972A9">
      <w:pPr>
        <w:pStyle w:val="TextoCorridoABNT"/>
        <w:ind w:firstLine="0"/>
        <w:rPr>
          <w:bdr w:val="none" w:sz="0" w:space="0" w:color="auto" w:frame="1"/>
        </w:rPr>
      </w:pPr>
      <w:r w:rsidRPr="009971F6">
        <w:rPr>
          <w:bdr w:val="none" w:sz="0" w:space="0" w:color="auto" w:frame="1"/>
        </w:rPr>
        <w:t xml:space="preserve">Fonte: </w:t>
      </w:r>
      <w:r w:rsidR="000459A6" w:rsidRPr="009971F6">
        <w:rPr>
          <w:bdr w:val="none" w:sz="0" w:space="0" w:color="auto" w:frame="1"/>
        </w:rPr>
        <w:t>Elaboração</w:t>
      </w:r>
      <w:r w:rsidRPr="009971F6">
        <w:rPr>
          <w:bdr w:val="none" w:sz="0" w:space="0" w:color="auto" w:frame="1"/>
        </w:rPr>
        <w:t xml:space="preserve"> </w:t>
      </w:r>
      <w:r w:rsidR="00284B1E">
        <w:rPr>
          <w:bdr w:val="none" w:sz="0" w:space="0" w:color="auto" w:frame="1"/>
        </w:rPr>
        <w:t xml:space="preserve">própria </w:t>
      </w:r>
      <w:r w:rsidRPr="009971F6">
        <w:rPr>
          <w:bdr w:val="none" w:sz="0" w:space="0" w:color="auto" w:frame="1"/>
        </w:rPr>
        <w:t>com dados do Programa de Cálculo do Desflorest</w:t>
      </w:r>
      <w:r w:rsidR="00FA231F" w:rsidRPr="009971F6">
        <w:rPr>
          <w:bdr w:val="none" w:sz="0" w:space="0" w:color="auto" w:frame="1"/>
        </w:rPr>
        <w:t>am</w:t>
      </w:r>
      <w:r w:rsidRPr="009971F6">
        <w:rPr>
          <w:bdr w:val="none" w:sz="0" w:space="0" w:color="auto" w:frame="1"/>
        </w:rPr>
        <w:t>ento da</w:t>
      </w:r>
      <w:r w:rsidR="002051B0" w:rsidRPr="009971F6">
        <w:rPr>
          <w:bdr w:val="none" w:sz="0" w:space="0" w:color="auto" w:frame="1"/>
        </w:rPr>
        <w:t xml:space="preserve"> </w:t>
      </w:r>
      <w:r w:rsidRPr="009971F6">
        <w:rPr>
          <w:bdr w:val="none" w:sz="0" w:space="0" w:color="auto" w:frame="1"/>
        </w:rPr>
        <w:t>Amazônia</w:t>
      </w:r>
      <w:r w:rsidR="000459A6" w:rsidRPr="009971F6">
        <w:rPr>
          <w:bdr w:val="none" w:sz="0" w:space="0" w:color="auto" w:frame="1"/>
        </w:rPr>
        <w:t xml:space="preserve"> - </w:t>
      </w:r>
      <w:r w:rsidRPr="009971F6">
        <w:rPr>
          <w:bdr w:val="none" w:sz="0" w:space="0" w:color="auto" w:frame="1"/>
        </w:rPr>
        <w:t>PRODES (</w:t>
      </w:r>
      <w:r w:rsidR="00AF2C7B" w:rsidRPr="009971F6">
        <w:rPr>
          <w:bdr w:val="none" w:sz="0" w:space="0" w:color="auto" w:frame="1"/>
        </w:rPr>
        <w:t xml:space="preserve">INPE, </w:t>
      </w:r>
      <w:r w:rsidRPr="009971F6">
        <w:rPr>
          <w:bdr w:val="none" w:sz="0" w:space="0" w:color="auto" w:frame="1"/>
        </w:rPr>
        <w:t>2022).</w:t>
      </w:r>
    </w:p>
    <w:p w14:paraId="2CC18DB9" w14:textId="77777777" w:rsidR="00A972A9" w:rsidRPr="009971F6" w:rsidRDefault="00A972A9" w:rsidP="00D3677A">
      <w:pPr>
        <w:pStyle w:val="TextoCorridoABNT"/>
        <w:rPr>
          <w:bdr w:val="none" w:sz="0" w:space="0" w:color="auto" w:frame="1"/>
        </w:rPr>
      </w:pPr>
    </w:p>
    <w:p w14:paraId="556B4BA1" w14:textId="591F1230" w:rsidR="00257C15" w:rsidRPr="009971F6" w:rsidRDefault="00807E75" w:rsidP="00D3677A">
      <w:pPr>
        <w:pStyle w:val="TextoCorridoABNT"/>
        <w:rPr>
          <w:bdr w:val="none" w:sz="0" w:space="0" w:color="auto" w:frame="1"/>
        </w:rPr>
      </w:pPr>
      <w:r w:rsidRPr="009971F6">
        <w:rPr>
          <w:bdr w:val="none" w:sz="0" w:space="0" w:color="auto" w:frame="1"/>
        </w:rPr>
        <w:t xml:space="preserve">Saraiva (2017) e Perz e Skole (2013) analisaram a dinâmica do desflorestamento da Amazônia </w:t>
      </w:r>
      <w:r w:rsidR="00FA231F" w:rsidRPr="009971F6">
        <w:rPr>
          <w:bdr w:val="none" w:sz="0" w:space="0" w:color="auto" w:frame="1"/>
        </w:rPr>
        <w:t>L</w:t>
      </w:r>
      <w:r w:rsidRPr="009971F6">
        <w:rPr>
          <w:bdr w:val="none" w:sz="0" w:space="0" w:color="auto" w:frame="1"/>
        </w:rPr>
        <w:t xml:space="preserve">egal demonstrando que a redução das florestas primárias ocorre em concomitância </w:t>
      </w:r>
      <w:r w:rsidRPr="009971F6">
        <w:rPr>
          <w:bdr w:val="none" w:sz="0" w:space="0" w:color="auto" w:frame="1"/>
        </w:rPr>
        <w:lastRenderedPageBreak/>
        <w:t>com o reflorestamento</w:t>
      </w:r>
      <w:r w:rsidR="00FA231F" w:rsidRPr="009971F6">
        <w:rPr>
          <w:bdr w:val="none" w:sz="0" w:space="0" w:color="auto" w:frame="1"/>
        </w:rPr>
        <w:t>,</w:t>
      </w:r>
      <w:r w:rsidRPr="009971F6">
        <w:rPr>
          <w:bdr w:val="none" w:sz="0" w:space="0" w:color="auto" w:frame="1"/>
        </w:rPr>
        <w:t xml:space="preserve"> através da expansão de florestas secundárias.</w:t>
      </w:r>
      <w:r w:rsidR="007633AF" w:rsidRPr="009971F6">
        <w:rPr>
          <w:bdr w:val="none" w:sz="0" w:space="0" w:color="auto" w:frame="1"/>
        </w:rPr>
        <w:t xml:space="preserve"> Aguiar </w:t>
      </w:r>
      <w:r w:rsidR="007633AF" w:rsidRPr="009971F6">
        <w:rPr>
          <w:i/>
          <w:iCs/>
          <w:bdr w:val="none" w:sz="0" w:space="0" w:color="auto" w:frame="1"/>
        </w:rPr>
        <w:t>et al</w:t>
      </w:r>
      <w:r w:rsidR="007633AF" w:rsidRPr="009971F6">
        <w:rPr>
          <w:bdr w:val="none" w:sz="0" w:space="0" w:color="auto" w:frame="1"/>
        </w:rPr>
        <w:t xml:space="preserve"> (2007)</w:t>
      </w:r>
      <w:r w:rsidR="005E7236" w:rsidRPr="009971F6">
        <w:rPr>
          <w:bdr w:val="none" w:sz="0" w:space="0" w:color="auto" w:frame="1"/>
        </w:rPr>
        <w:t xml:space="preserve"> e Ometto </w:t>
      </w:r>
      <w:r w:rsidR="005E7236" w:rsidRPr="009971F6">
        <w:rPr>
          <w:i/>
          <w:iCs/>
          <w:bdr w:val="none" w:sz="0" w:space="0" w:color="auto" w:frame="1"/>
        </w:rPr>
        <w:t>e</w:t>
      </w:r>
      <w:r w:rsidR="008D36A9" w:rsidRPr="009971F6">
        <w:rPr>
          <w:i/>
          <w:iCs/>
          <w:bdr w:val="none" w:sz="0" w:space="0" w:color="auto" w:frame="1"/>
        </w:rPr>
        <w:t>t</w:t>
      </w:r>
      <w:r w:rsidR="005E7236" w:rsidRPr="009971F6">
        <w:rPr>
          <w:i/>
          <w:iCs/>
          <w:bdr w:val="none" w:sz="0" w:space="0" w:color="auto" w:frame="1"/>
        </w:rPr>
        <w:t xml:space="preserve"> al </w:t>
      </w:r>
      <w:r w:rsidR="005E7236" w:rsidRPr="009971F6">
        <w:rPr>
          <w:bdr w:val="none" w:sz="0" w:space="0" w:color="auto" w:frame="1"/>
        </w:rPr>
        <w:t xml:space="preserve">(2011) </w:t>
      </w:r>
      <w:r w:rsidR="007633AF" w:rsidRPr="009971F6">
        <w:rPr>
          <w:bdr w:val="none" w:sz="0" w:space="0" w:color="auto" w:frame="1"/>
        </w:rPr>
        <w:t>demonstra</w:t>
      </w:r>
      <w:r w:rsidR="00FA231F" w:rsidRPr="009971F6">
        <w:rPr>
          <w:bdr w:val="none" w:sz="0" w:space="0" w:color="auto" w:frame="1"/>
        </w:rPr>
        <w:t>ra</w:t>
      </w:r>
      <w:r w:rsidR="005E7236" w:rsidRPr="009971F6">
        <w:rPr>
          <w:bdr w:val="none" w:sz="0" w:space="0" w:color="auto" w:frame="1"/>
        </w:rPr>
        <w:t>m</w:t>
      </w:r>
      <w:r w:rsidR="007633AF" w:rsidRPr="009971F6">
        <w:rPr>
          <w:bdr w:val="none" w:sz="0" w:space="0" w:color="auto" w:frame="1"/>
        </w:rPr>
        <w:t xml:space="preserve"> que os principais condutores do desmatamento </w:t>
      </w:r>
      <w:r w:rsidR="00512941" w:rsidRPr="009971F6">
        <w:rPr>
          <w:bdr w:val="none" w:sz="0" w:space="0" w:color="auto" w:frame="1"/>
        </w:rPr>
        <w:t>est</w:t>
      </w:r>
      <w:r w:rsidR="007633AF" w:rsidRPr="009971F6">
        <w:rPr>
          <w:bdr w:val="none" w:sz="0" w:space="0" w:color="auto" w:frame="1"/>
        </w:rPr>
        <w:t xml:space="preserve">ão ligados </w:t>
      </w:r>
      <w:r w:rsidR="008D36A9" w:rsidRPr="009971F6">
        <w:rPr>
          <w:bdr w:val="none" w:sz="0" w:space="0" w:color="auto" w:frame="1"/>
        </w:rPr>
        <w:t>à</w:t>
      </w:r>
      <w:r w:rsidR="00FA231F" w:rsidRPr="009971F6">
        <w:rPr>
          <w:bdr w:val="none" w:sz="0" w:space="0" w:color="auto" w:frame="1"/>
        </w:rPr>
        <w:t xml:space="preserve"> </w:t>
      </w:r>
      <w:r w:rsidR="005E7236" w:rsidRPr="009971F6">
        <w:rPr>
          <w:bdr w:val="none" w:sz="0" w:space="0" w:color="auto" w:frame="1"/>
        </w:rPr>
        <w:t>uma ampla variedade de fatores</w:t>
      </w:r>
      <w:r w:rsidR="007633AF" w:rsidRPr="009971F6">
        <w:rPr>
          <w:bdr w:val="none" w:sz="0" w:space="0" w:color="auto" w:frame="1"/>
        </w:rPr>
        <w:t xml:space="preserve"> socioeconômicos, institucionais, tecnológicos e demográficos</w:t>
      </w:r>
      <w:r w:rsidR="005E7236" w:rsidRPr="009971F6">
        <w:rPr>
          <w:bdr w:val="none" w:sz="0" w:space="0" w:color="auto" w:frame="1"/>
        </w:rPr>
        <w:t>. A expansão de rebanhos</w:t>
      </w:r>
      <w:r w:rsidR="008D36A9" w:rsidRPr="009971F6">
        <w:rPr>
          <w:bdr w:val="none" w:sz="0" w:space="0" w:color="auto" w:frame="1"/>
        </w:rPr>
        <w:t>,</w:t>
      </w:r>
      <w:r w:rsidR="005E7236" w:rsidRPr="009971F6">
        <w:rPr>
          <w:bdr w:val="none" w:sz="0" w:space="0" w:color="auto" w:frame="1"/>
        </w:rPr>
        <w:t xml:space="preserve"> do plantio de soja </w:t>
      </w:r>
      <w:r w:rsidR="008D36A9" w:rsidRPr="009971F6">
        <w:rPr>
          <w:bdr w:val="none" w:sz="0" w:space="0" w:color="auto" w:frame="1"/>
        </w:rPr>
        <w:t>e da fronteira</w:t>
      </w:r>
      <w:r w:rsidR="005E7236" w:rsidRPr="009971F6">
        <w:rPr>
          <w:bdr w:val="none" w:sz="0" w:space="0" w:color="auto" w:frame="1"/>
        </w:rPr>
        <w:t xml:space="preserve"> agrícola, o surgimento de estradas e a quantia de áreas de proteção ambiental são alguns dos determinantes para os níveis de desflorestamento da região</w:t>
      </w:r>
      <w:r w:rsidR="003622DE" w:rsidRPr="009971F6">
        <w:rPr>
          <w:bdr w:val="none" w:sz="0" w:space="0" w:color="auto" w:frame="1"/>
        </w:rPr>
        <w:t xml:space="preserve"> (PERZ</w:t>
      </w:r>
      <w:r w:rsidR="00E61DA4" w:rsidRPr="009971F6">
        <w:rPr>
          <w:bdr w:val="none" w:sz="0" w:space="0" w:color="auto" w:frame="1"/>
        </w:rPr>
        <w:t xml:space="preserve"> e </w:t>
      </w:r>
      <w:r w:rsidR="003622DE" w:rsidRPr="009971F6">
        <w:rPr>
          <w:bdr w:val="none" w:sz="0" w:space="0" w:color="auto" w:frame="1"/>
        </w:rPr>
        <w:t>SKOLE, 2013).</w:t>
      </w:r>
    </w:p>
    <w:p w14:paraId="15EF8FB6" w14:textId="133B0C4D" w:rsidR="005E7236" w:rsidRPr="009971F6" w:rsidRDefault="00E8019C" w:rsidP="00D3677A">
      <w:pPr>
        <w:pStyle w:val="TextoCorridoABNT"/>
        <w:rPr>
          <w:bdr w:val="none" w:sz="0" w:space="0" w:color="auto" w:frame="1"/>
        </w:rPr>
      </w:pPr>
      <w:r w:rsidRPr="009971F6">
        <w:rPr>
          <w:bdr w:val="none" w:sz="0" w:space="0" w:color="auto" w:frame="1"/>
        </w:rPr>
        <w:t xml:space="preserve">Existem </w:t>
      </w:r>
      <w:r w:rsidR="00FA231F" w:rsidRPr="009971F6">
        <w:rPr>
          <w:bdr w:val="none" w:sz="0" w:space="0" w:color="auto" w:frame="1"/>
        </w:rPr>
        <w:t xml:space="preserve">projetos e programas </w:t>
      </w:r>
      <w:r w:rsidR="00B4654F" w:rsidRPr="009971F6">
        <w:rPr>
          <w:bdr w:val="none" w:sz="0" w:space="0" w:color="auto" w:frame="1"/>
        </w:rPr>
        <w:t>vinculados ao Instituto Nacional de Pesquisas Espaciais</w:t>
      </w:r>
      <w:r w:rsidR="005E62B6" w:rsidRPr="009971F6">
        <w:rPr>
          <w:bdr w:val="none" w:sz="0" w:space="0" w:color="auto" w:frame="1"/>
        </w:rPr>
        <w:t xml:space="preserve"> – </w:t>
      </w:r>
      <w:r w:rsidR="00B4654F" w:rsidRPr="009971F6">
        <w:rPr>
          <w:bdr w:val="none" w:sz="0" w:space="0" w:color="auto" w:frame="1"/>
        </w:rPr>
        <w:t>INPE</w:t>
      </w:r>
      <w:r w:rsidR="005E62B6" w:rsidRPr="009971F6">
        <w:rPr>
          <w:bdr w:val="none" w:sz="0" w:space="0" w:color="auto" w:frame="1"/>
        </w:rPr>
        <w:t xml:space="preserve"> –</w:t>
      </w:r>
      <w:r w:rsidR="00B4654F" w:rsidRPr="009971F6">
        <w:rPr>
          <w:bdr w:val="none" w:sz="0" w:space="0" w:color="auto" w:frame="1"/>
        </w:rPr>
        <w:t xml:space="preserve"> </w:t>
      </w:r>
      <w:r w:rsidR="00FA231F" w:rsidRPr="009971F6">
        <w:rPr>
          <w:bdr w:val="none" w:sz="0" w:space="0" w:color="auto" w:frame="1"/>
        </w:rPr>
        <w:t>que</w:t>
      </w:r>
      <w:r w:rsidR="005E62B6" w:rsidRPr="009971F6">
        <w:rPr>
          <w:bdr w:val="none" w:sz="0" w:space="0" w:color="auto" w:frame="1"/>
        </w:rPr>
        <w:t xml:space="preserve"> </w:t>
      </w:r>
      <w:r w:rsidR="00FA231F" w:rsidRPr="009971F6">
        <w:rPr>
          <w:bdr w:val="none" w:sz="0" w:space="0" w:color="auto" w:frame="1"/>
        </w:rPr>
        <w:t>monitoram o desmatamento e a cobertura florestal no bioma Amazônico e na Amazônia Legal</w:t>
      </w:r>
      <w:r w:rsidR="008D36A9" w:rsidRPr="009971F6">
        <w:rPr>
          <w:bdr w:val="none" w:sz="0" w:space="0" w:color="auto" w:frame="1"/>
        </w:rPr>
        <w:t>, tais como: Programa de Cálculo do Desflorestamento da Amazônia</w:t>
      </w:r>
      <w:r w:rsidR="005E62B6" w:rsidRPr="009971F6">
        <w:rPr>
          <w:bdr w:val="none" w:sz="0" w:space="0" w:color="auto" w:frame="1"/>
        </w:rPr>
        <w:t xml:space="preserve"> – </w:t>
      </w:r>
      <w:r w:rsidR="008D36A9" w:rsidRPr="009971F6">
        <w:rPr>
          <w:bdr w:val="none" w:sz="0" w:space="0" w:color="auto" w:frame="1"/>
        </w:rPr>
        <w:t>PRODES</w:t>
      </w:r>
      <w:r w:rsidR="005E62B6" w:rsidRPr="009971F6">
        <w:rPr>
          <w:bdr w:val="none" w:sz="0" w:space="0" w:color="auto" w:frame="1"/>
        </w:rPr>
        <w:t xml:space="preserve"> (INPE</w:t>
      </w:r>
      <w:r w:rsidR="00CD555E" w:rsidRPr="009971F6">
        <w:rPr>
          <w:bdr w:val="none" w:sz="0" w:space="0" w:color="auto" w:frame="1"/>
        </w:rPr>
        <w:t>, 2022</w:t>
      </w:r>
      <w:r w:rsidR="008D36A9" w:rsidRPr="009971F6">
        <w:rPr>
          <w:bdr w:val="none" w:sz="0" w:space="0" w:color="auto" w:frame="1"/>
        </w:rPr>
        <w:t xml:space="preserve">); Sistema de Detecção de Desmatamentos em Tempo Real </w:t>
      </w:r>
      <w:r w:rsidR="00CD555E" w:rsidRPr="009971F6">
        <w:rPr>
          <w:bdr w:val="none" w:sz="0" w:space="0" w:color="auto" w:frame="1"/>
        </w:rPr>
        <w:t xml:space="preserve">– </w:t>
      </w:r>
      <w:r w:rsidR="008D36A9" w:rsidRPr="009971F6">
        <w:rPr>
          <w:bdr w:val="none" w:sz="0" w:space="0" w:color="auto" w:frame="1"/>
        </w:rPr>
        <w:t>DETER</w:t>
      </w:r>
      <w:r w:rsidR="00CD555E" w:rsidRPr="009971F6">
        <w:rPr>
          <w:bdr w:val="none" w:sz="0" w:space="0" w:color="auto" w:frame="1"/>
        </w:rPr>
        <w:t xml:space="preserve"> (INPE, 2023b)</w:t>
      </w:r>
      <w:r w:rsidR="008D36A9" w:rsidRPr="009971F6">
        <w:rPr>
          <w:bdr w:val="none" w:sz="0" w:space="0" w:color="auto" w:frame="1"/>
        </w:rPr>
        <w:t xml:space="preserve"> e o TerraClass</w:t>
      </w:r>
      <w:r w:rsidR="00CD555E" w:rsidRPr="009971F6">
        <w:rPr>
          <w:bdr w:val="none" w:sz="0" w:space="0" w:color="auto" w:frame="1"/>
        </w:rPr>
        <w:t xml:space="preserve"> (INPE, 2023a)</w:t>
      </w:r>
      <w:r w:rsidR="008D36A9" w:rsidRPr="009971F6">
        <w:rPr>
          <w:bdr w:val="none" w:sz="0" w:space="0" w:color="auto" w:frame="1"/>
        </w:rPr>
        <w:t>.</w:t>
      </w:r>
      <w:r w:rsidR="00B4654F" w:rsidRPr="009971F6">
        <w:rPr>
          <w:bdr w:val="none" w:sz="0" w:space="0" w:color="auto" w:frame="1"/>
        </w:rPr>
        <w:t xml:space="preserve"> </w:t>
      </w:r>
    </w:p>
    <w:p w14:paraId="3CF8AFED" w14:textId="0CD48DC3" w:rsidR="008D36A9" w:rsidRPr="009971F6" w:rsidRDefault="008D36A9" w:rsidP="00D3677A">
      <w:pPr>
        <w:pStyle w:val="TextoCorridoABNT"/>
        <w:rPr>
          <w:bdr w:val="none" w:sz="0" w:space="0" w:color="auto" w:frame="1"/>
        </w:rPr>
      </w:pPr>
      <w:r w:rsidRPr="009971F6">
        <w:rPr>
          <w:bdr w:val="none" w:sz="0" w:space="0" w:color="auto" w:frame="1"/>
        </w:rPr>
        <w:t xml:space="preserve">O PRODES </w:t>
      </w:r>
      <w:r w:rsidR="00B4654F" w:rsidRPr="009971F6">
        <w:rPr>
          <w:bdr w:val="none" w:sz="0" w:space="0" w:color="auto" w:frame="1"/>
        </w:rPr>
        <w:t>utiliza</w:t>
      </w:r>
      <w:r w:rsidRPr="009971F6">
        <w:rPr>
          <w:bdr w:val="none" w:sz="0" w:space="0" w:color="auto" w:frame="1"/>
        </w:rPr>
        <w:t xml:space="preserve"> </w:t>
      </w:r>
      <w:r w:rsidR="00B4654F" w:rsidRPr="009971F6">
        <w:rPr>
          <w:bdr w:val="none" w:sz="0" w:space="0" w:color="auto" w:frame="1"/>
        </w:rPr>
        <w:t xml:space="preserve">imagens de </w:t>
      </w:r>
      <w:r w:rsidRPr="009971F6">
        <w:rPr>
          <w:bdr w:val="none" w:sz="0" w:space="0" w:color="auto" w:frame="1"/>
        </w:rPr>
        <w:t xml:space="preserve">satélite </w:t>
      </w:r>
      <w:r w:rsidR="00B4654F" w:rsidRPr="009971F6">
        <w:rPr>
          <w:bdr w:val="none" w:sz="0" w:space="0" w:color="auto" w:frame="1"/>
        </w:rPr>
        <w:t>de sensoriamento remoto para monitorar o</w:t>
      </w:r>
      <w:r w:rsidRPr="009971F6">
        <w:rPr>
          <w:bdr w:val="none" w:sz="0" w:space="0" w:color="auto" w:frame="1"/>
        </w:rPr>
        <w:t xml:space="preserve"> desmatamento de florestas primárias na Amazonia Legal e </w:t>
      </w:r>
      <w:r w:rsidR="00B4654F" w:rsidRPr="009971F6">
        <w:rPr>
          <w:bdr w:val="none" w:sz="0" w:space="0" w:color="auto" w:frame="1"/>
        </w:rPr>
        <w:t>tem como principal objetivo estimar a taxa anual de desmatamento da região.</w:t>
      </w:r>
      <w:r w:rsidR="00CD4070" w:rsidRPr="009971F6">
        <w:rPr>
          <w:bdr w:val="none" w:sz="0" w:space="0" w:color="auto" w:frame="1"/>
        </w:rPr>
        <w:t xml:space="preserve"> A consulta para os dados e resultados obtidos pelo projeto estão disponíveis na plataforma TerraBrasilis</w:t>
      </w:r>
      <w:r w:rsidR="00B4654F" w:rsidRPr="009971F6">
        <w:rPr>
          <w:bdr w:val="none" w:sz="0" w:space="0" w:color="auto" w:frame="1"/>
        </w:rPr>
        <w:t xml:space="preserve"> (INPE, 202</w:t>
      </w:r>
      <w:r w:rsidR="00CD4070" w:rsidRPr="009971F6">
        <w:rPr>
          <w:bdr w:val="none" w:sz="0" w:space="0" w:color="auto" w:frame="1"/>
        </w:rPr>
        <w:t>2</w:t>
      </w:r>
      <w:r w:rsidR="00C67A60" w:rsidRPr="009971F6">
        <w:rPr>
          <w:bdr w:val="none" w:sz="0" w:space="0" w:color="auto" w:frame="1"/>
        </w:rPr>
        <w:t>c</w:t>
      </w:r>
      <w:r w:rsidR="00B4654F" w:rsidRPr="009971F6">
        <w:rPr>
          <w:bdr w:val="none" w:sz="0" w:space="0" w:color="auto" w:frame="1"/>
        </w:rPr>
        <w:t>)</w:t>
      </w:r>
      <w:r w:rsidR="00CD4070" w:rsidRPr="009971F6">
        <w:rPr>
          <w:bdr w:val="none" w:sz="0" w:space="0" w:color="auto" w:frame="1"/>
        </w:rPr>
        <w:t>.</w:t>
      </w:r>
    </w:p>
    <w:p w14:paraId="1505CE4D" w14:textId="5A26D2C4" w:rsidR="00B4654F" w:rsidRPr="009971F6" w:rsidRDefault="00B4654F" w:rsidP="00D3677A">
      <w:pPr>
        <w:pStyle w:val="TextoCorridoABNT"/>
        <w:rPr>
          <w:bdr w:val="none" w:sz="0" w:space="0" w:color="auto" w:frame="1"/>
        </w:rPr>
      </w:pPr>
      <w:r w:rsidRPr="009971F6">
        <w:rPr>
          <w:bdr w:val="none" w:sz="0" w:space="0" w:color="auto" w:frame="1"/>
        </w:rPr>
        <w:t xml:space="preserve">O DETER </w:t>
      </w:r>
      <w:r w:rsidR="006B78B1" w:rsidRPr="009971F6">
        <w:rPr>
          <w:bdr w:val="none" w:sz="0" w:space="0" w:color="auto" w:frame="1"/>
        </w:rPr>
        <w:t xml:space="preserve">(INPE, 2023b) </w:t>
      </w:r>
      <w:r w:rsidRPr="009971F6">
        <w:rPr>
          <w:bdr w:val="none" w:sz="0" w:space="0" w:color="auto" w:frame="1"/>
        </w:rPr>
        <w:t>é um sistema de apoio a fiscalização que mapeia a supressão e degradação ambiental na Amazônia Legal. O sistema produz diariamente avisos de alteração na vegetação para áreas via imagens por satélite e indicam áreas totalmente desmatadas ou em processo de degradação florestal. Seu principal objetivo é</w:t>
      </w:r>
      <w:r w:rsidR="00CD4070" w:rsidRPr="009971F6">
        <w:rPr>
          <w:bdr w:val="none" w:sz="0" w:space="0" w:color="auto" w:frame="1"/>
        </w:rPr>
        <w:t xml:space="preserve"> provisionar aos órgãos de fiscalização ambiental recursos para serem utilizados em suas ações. Assim como no PRODEs, </w:t>
      </w:r>
      <w:r w:rsidR="006B78B1" w:rsidRPr="009971F6">
        <w:rPr>
          <w:bdr w:val="none" w:sz="0" w:space="0" w:color="auto" w:frame="1"/>
        </w:rPr>
        <w:t>(INPE</w:t>
      </w:r>
      <w:r w:rsidR="00BF2469" w:rsidRPr="009971F6">
        <w:rPr>
          <w:bdr w:val="none" w:sz="0" w:space="0" w:color="auto" w:frame="1"/>
        </w:rPr>
        <w:t>,</w:t>
      </w:r>
      <w:r w:rsidR="006B78B1" w:rsidRPr="009971F6">
        <w:rPr>
          <w:bdr w:val="none" w:sz="0" w:space="0" w:color="auto" w:frame="1"/>
        </w:rPr>
        <w:t xml:space="preserve"> 2022) </w:t>
      </w:r>
      <w:r w:rsidR="00CD4070" w:rsidRPr="009971F6">
        <w:rPr>
          <w:bdr w:val="none" w:sz="0" w:space="0" w:color="auto" w:frame="1"/>
        </w:rPr>
        <w:t>os dados e resultados obtidos estão disponíveis na plataforma TerraBrasilis (INPE</w:t>
      </w:r>
      <w:r w:rsidR="00730184" w:rsidRPr="009971F6">
        <w:rPr>
          <w:bdr w:val="none" w:sz="0" w:space="0" w:color="auto" w:frame="1"/>
        </w:rPr>
        <w:t>, 2023c</w:t>
      </w:r>
      <w:r w:rsidR="00CD4070" w:rsidRPr="009971F6">
        <w:rPr>
          <w:bdr w:val="none" w:sz="0" w:space="0" w:color="auto" w:frame="1"/>
        </w:rPr>
        <w:t>).</w:t>
      </w:r>
    </w:p>
    <w:p w14:paraId="10CD8D2B" w14:textId="244C4EFF" w:rsidR="00CD4070" w:rsidRPr="009971F6" w:rsidRDefault="00CD4070" w:rsidP="00D3677A">
      <w:pPr>
        <w:pStyle w:val="TextoCorridoABNT"/>
        <w:rPr>
          <w:bdr w:val="none" w:sz="0" w:space="0" w:color="auto" w:frame="1"/>
        </w:rPr>
      </w:pPr>
      <w:r w:rsidRPr="009971F6">
        <w:rPr>
          <w:bdr w:val="none" w:sz="0" w:space="0" w:color="auto" w:frame="1"/>
        </w:rPr>
        <w:t>O projeto TerraClass utiliza as imagens mapeadas e publicadas pelo PRODES para produzir mapas sistêmicos com o intuito de qualificar o desflorestamento da Amazônia Legal, investigando os motivos e causas para o desmatamento. O projeto considera e distingue diferentes classes de uso do solo, incluindo a diferenciação de florestas primárias e secundárias (INPE</w:t>
      </w:r>
      <w:r w:rsidR="00006EF5" w:rsidRPr="009971F6">
        <w:rPr>
          <w:bdr w:val="none" w:sz="0" w:space="0" w:color="auto" w:frame="1"/>
        </w:rPr>
        <w:t>;</w:t>
      </w:r>
      <w:r w:rsidRPr="009971F6">
        <w:rPr>
          <w:bdr w:val="none" w:sz="0" w:space="0" w:color="auto" w:frame="1"/>
        </w:rPr>
        <w:t xml:space="preserve"> </w:t>
      </w:r>
      <w:r w:rsidR="00006EF5" w:rsidRPr="009971F6">
        <w:rPr>
          <w:bdr w:val="none" w:sz="0" w:space="0" w:color="auto" w:frame="1"/>
        </w:rPr>
        <w:t xml:space="preserve">2022, </w:t>
      </w:r>
      <w:r w:rsidRPr="009971F6">
        <w:rPr>
          <w:bdr w:val="none" w:sz="0" w:space="0" w:color="auto" w:frame="1"/>
        </w:rPr>
        <w:t>20</w:t>
      </w:r>
      <w:r w:rsidR="00006EF5" w:rsidRPr="009971F6">
        <w:rPr>
          <w:bdr w:val="none" w:sz="0" w:space="0" w:color="auto" w:frame="1"/>
        </w:rPr>
        <w:t>23a</w:t>
      </w:r>
      <w:r w:rsidRPr="009971F6">
        <w:rPr>
          <w:bdr w:val="none" w:sz="0" w:space="0" w:color="auto" w:frame="1"/>
        </w:rPr>
        <w:t>). O projeto mapeou informações referentes ao período de 2004 a 2014 e no momento encontra-se paralisado para a Amazônia Legal.</w:t>
      </w:r>
    </w:p>
    <w:p w14:paraId="50184019" w14:textId="77777777" w:rsidR="008B0CCF" w:rsidRPr="009971F6" w:rsidRDefault="008B0CCF" w:rsidP="00A972A9">
      <w:pPr>
        <w:pStyle w:val="Ttulo2"/>
        <w:spacing w:before="0" w:after="0"/>
        <w:ind w:firstLine="0"/>
      </w:pPr>
      <w:bookmarkStart w:id="5" w:name="_Toc130219020"/>
    </w:p>
    <w:p w14:paraId="6290DF7D" w14:textId="3E73BE2E" w:rsidR="00207674" w:rsidRPr="009971F6" w:rsidRDefault="008B0CCF" w:rsidP="00A972A9">
      <w:pPr>
        <w:pStyle w:val="Ttulo2"/>
        <w:spacing w:before="0" w:after="0"/>
        <w:ind w:firstLine="0"/>
        <w:rPr>
          <w:b/>
          <w:bCs/>
        </w:rPr>
      </w:pPr>
      <w:r w:rsidRPr="009971F6">
        <w:rPr>
          <w:b/>
          <w:bCs/>
        </w:rPr>
        <w:t>2</w:t>
      </w:r>
      <w:r w:rsidR="00207674" w:rsidRPr="009971F6">
        <w:rPr>
          <w:b/>
          <w:bCs/>
        </w:rPr>
        <w:t>.</w:t>
      </w:r>
      <w:r w:rsidRPr="009971F6">
        <w:rPr>
          <w:b/>
          <w:bCs/>
        </w:rPr>
        <w:t>3</w:t>
      </w:r>
      <w:r w:rsidR="00207674" w:rsidRPr="009971F6">
        <w:rPr>
          <w:b/>
          <w:bCs/>
        </w:rPr>
        <w:t xml:space="preserve"> </w:t>
      </w:r>
      <w:r w:rsidR="00A972A9" w:rsidRPr="009971F6">
        <w:rPr>
          <w:b/>
          <w:bCs/>
        </w:rPr>
        <w:t xml:space="preserve">Curva </w:t>
      </w:r>
      <w:r w:rsidR="00AA1043" w:rsidRPr="009971F6">
        <w:rPr>
          <w:b/>
          <w:bCs/>
        </w:rPr>
        <w:t xml:space="preserve">Ambiental </w:t>
      </w:r>
      <w:r w:rsidR="00A972A9" w:rsidRPr="009971F6">
        <w:rPr>
          <w:b/>
          <w:bCs/>
        </w:rPr>
        <w:t>de Kuznets</w:t>
      </w:r>
      <w:bookmarkEnd w:id="5"/>
    </w:p>
    <w:p w14:paraId="09A652EA" w14:textId="507B72D0" w:rsidR="00AF74D9" w:rsidRPr="009971F6" w:rsidRDefault="00380C99" w:rsidP="00D3677A">
      <w:pPr>
        <w:pStyle w:val="TextoCorridoABNT"/>
      </w:pPr>
      <w:r w:rsidRPr="009971F6">
        <w:t xml:space="preserve">O trabalho empírico realizado por Grossman e Krueger </w:t>
      </w:r>
      <w:r w:rsidR="00392499" w:rsidRPr="009971F6">
        <w:t>(</w:t>
      </w:r>
      <w:r w:rsidRPr="009971F6">
        <w:t>199</w:t>
      </w:r>
      <w:r w:rsidR="00EB4095" w:rsidRPr="009971F6">
        <w:t>1</w:t>
      </w:r>
      <w:r w:rsidR="00392499" w:rsidRPr="009971F6">
        <w:t>)</w:t>
      </w:r>
      <w:r w:rsidRPr="009971F6">
        <w:t xml:space="preserve"> buscou encontrar evidências para entender a relação entre o crescimento econômico e o nível de degradação </w:t>
      </w:r>
      <w:r w:rsidRPr="009971F6">
        <w:lastRenderedPageBreak/>
        <w:t xml:space="preserve">ambiental de um país, dando início </w:t>
      </w:r>
      <w:r w:rsidR="00335769" w:rsidRPr="009971F6">
        <w:t>ao estudo da</w:t>
      </w:r>
      <w:r w:rsidRPr="009971F6">
        <w:t xml:space="preserve"> relação </w:t>
      </w:r>
      <w:r w:rsidR="0021332F" w:rsidRPr="009971F6">
        <w:t>que ficou conhecido na literatura como Curva</w:t>
      </w:r>
      <w:r w:rsidRPr="009971F6">
        <w:t xml:space="preserve"> Ambiental de Kuznets (CAK).</w:t>
      </w:r>
    </w:p>
    <w:p w14:paraId="731FBF6B" w14:textId="5D637CB8" w:rsidR="00AF74D9" w:rsidRPr="009971F6" w:rsidRDefault="00291013" w:rsidP="00AF74D9">
      <w:pPr>
        <w:pStyle w:val="TextoCorridoABNT"/>
      </w:pPr>
      <w:r w:rsidRPr="009971F6">
        <w:t xml:space="preserve">A </w:t>
      </w:r>
      <w:r w:rsidR="0021332F" w:rsidRPr="009971F6">
        <w:t>CAK</w:t>
      </w:r>
      <w:r w:rsidRPr="009971F6">
        <w:t xml:space="preserve"> recebeu este nome devido à </w:t>
      </w:r>
      <w:r w:rsidR="00913978" w:rsidRPr="009971F6">
        <w:t xml:space="preserve">sua </w:t>
      </w:r>
      <w:r w:rsidRPr="009971F6">
        <w:t xml:space="preserve">similaridade </w:t>
      </w:r>
      <w:r w:rsidR="00365B3E" w:rsidRPr="009971F6">
        <w:t xml:space="preserve">empírica existente </w:t>
      </w:r>
      <w:r w:rsidRPr="009971F6">
        <w:t>entre a Curva de</w:t>
      </w:r>
      <w:r w:rsidR="00AF74D9" w:rsidRPr="009971F6">
        <w:t xml:space="preserve"> Kuznets</w:t>
      </w:r>
      <w:r w:rsidR="000E0A61" w:rsidRPr="009971F6">
        <w:t xml:space="preserve"> (KUZNETS, 1955)</w:t>
      </w:r>
      <w:r w:rsidR="00AF74D9" w:rsidRPr="009971F6">
        <w:t xml:space="preserve"> </w:t>
      </w:r>
      <w:r w:rsidRPr="009971F6">
        <w:t xml:space="preserve">que </w:t>
      </w:r>
      <w:r w:rsidR="00AF74D9" w:rsidRPr="009971F6">
        <w:t xml:space="preserve">busca entender a relação entre a renda </w:t>
      </w:r>
      <w:r w:rsidR="00AF74D9" w:rsidRPr="009971F6">
        <w:rPr>
          <w:i/>
          <w:iCs/>
        </w:rPr>
        <w:t>per capita</w:t>
      </w:r>
      <w:r w:rsidR="00AF74D9" w:rsidRPr="009971F6">
        <w:t xml:space="preserve"> e a desigualdade de renda em uma nação. A hipótese </w:t>
      </w:r>
      <w:r w:rsidR="00365B3E" w:rsidRPr="009971F6">
        <w:t xml:space="preserve">da Curva de Kuznets original </w:t>
      </w:r>
      <w:r w:rsidR="00AF74D9" w:rsidRPr="009971F6">
        <w:t xml:space="preserve">era de que, inicialmente a desigualdade de renda em uma nação aumentaria conforme se aumentava a renda </w:t>
      </w:r>
      <w:r w:rsidR="00AF74D9" w:rsidRPr="009971F6">
        <w:rPr>
          <w:i/>
          <w:iCs/>
        </w:rPr>
        <w:t>per capita</w:t>
      </w:r>
      <w:r w:rsidR="00AF74D9" w:rsidRPr="009971F6">
        <w:t xml:space="preserve">. Após um certo ponto, a relação iria se inverter, com a desigualdade diminuindo conforme o aumento da renda </w:t>
      </w:r>
      <w:r w:rsidR="00AF74D9" w:rsidRPr="009971F6">
        <w:rPr>
          <w:i/>
          <w:iCs/>
        </w:rPr>
        <w:t xml:space="preserve">per capita, </w:t>
      </w:r>
      <w:r w:rsidR="00AF74D9" w:rsidRPr="009971F6">
        <w:t>gerando assim uma curva em formato de “U” invertido.</w:t>
      </w:r>
    </w:p>
    <w:p w14:paraId="3159C2AA" w14:textId="36AAE940" w:rsidR="00FE4C98" w:rsidRPr="009971F6" w:rsidRDefault="00886CE7" w:rsidP="00D3677A">
      <w:pPr>
        <w:spacing w:line="360" w:lineRule="auto"/>
        <w:jc w:val="both"/>
      </w:pPr>
      <w:r w:rsidRPr="009971F6">
        <w:tab/>
      </w:r>
      <w:r w:rsidR="00281C10" w:rsidRPr="009971F6">
        <w:t>De forma análoga, a</w:t>
      </w:r>
      <w:r w:rsidRPr="009971F6">
        <w:t xml:space="preserve"> </w:t>
      </w:r>
      <w:r w:rsidR="00281C10" w:rsidRPr="009971F6">
        <w:t>CAK</w:t>
      </w:r>
      <w:r w:rsidR="005F37B5" w:rsidRPr="009971F6">
        <w:t xml:space="preserve"> explor</w:t>
      </w:r>
      <w:r w:rsidR="00913978" w:rsidRPr="009971F6">
        <w:t>a</w:t>
      </w:r>
      <w:r w:rsidR="005F37B5" w:rsidRPr="009971F6">
        <w:t xml:space="preserve"> a relação entre degradação</w:t>
      </w:r>
      <w:r w:rsidRPr="009971F6">
        <w:t xml:space="preserve"> ambiental</w:t>
      </w:r>
      <w:r w:rsidR="005F37B5" w:rsidRPr="009971F6">
        <w:t xml:space="preserve"> e a renda </w:t>
      </w:r>
      <w:r w:rsidR="005F37B5" w:rsidRPr="009971F6">
        <w:rPr>
          <w:i/>
          <w:iCs/>
        </w:rPr>
        <w:t>per capita</w:t>
      </w:r>
      <w:r w:rsidR="005F37B5" w:rsidRPr="009971F6">
        <w:t xml:space="preserve"> de uma nação. </w:t>
      </w:r>
      <w:r w:rsidR="006F7DB2" w:rsidRPr="009971F6">
        <w:t>Em um primeiro estágio, a CAK é crescente, já que os estágios iniciais da industrialização estão relacionados com aumentos nos níveis de poluição, uma vez que a população e os governos estão mais interessados na geração de postos de trabalho e de renda do que em questões ambientais. Além disso, a regulamentação ambiental e as instituições são muito precárias, as comunidades são pobres e não dispõe de recursos para pagar pelo “abatimento” dos danos ambientais.</w:t>
      </w:r>
      <w:r w:rsidR="007E7401" w:rsidRPr="009971F6">
        <w:t xml:space="preserve"> </w:t>
      </w:r>
      <w:r w:rsidR="006F7DB2" w:rsidRPr="009971F6">
        <w:t>No 2º estágio, a CAK é decrescente</w:t>
      </w:r>
      <w:r w:rsidR="007E7401" w:rsidRPr="009971F6">
        <w:t>, já que c</w:t>
      </w:r>
      <w:r w:rsidR="006F7DB2" w:rsidRPr="009971F6">
        <w:t>om o aumento de renda, a produção industrial se torna menos poluente, a qualidade ambiental passa a ser mais valorizada pela população, as leis e as instituições se tornam mais eficientes para a obtenção de um meio ambiente com maior qualidade ambiental</w:t>
      </w:r>
      <w:r w:rsidR="00C46D57" w:rsidRPr="009971F6">
        <w:t xml:space="preserve">, </w:t>
      </w:r>
      <w:r w:rsidR="00192D0B" w:rsidRPr="009971F6">
        <w:t xml:space="preserve">gerando </w:t>
      </w:r>
      <w:r w:rsidR="00C46D57" w:rsidRPr="009971F6">
        <w:t xml:space="preserve">assim o formato </w:t>
      </w:r>
      <w:r w:rsidR="00192D0B" w:rsidRPr="009971F6">
        <w:t xml:space="preserve">empírico </w:t>
      </w:r>
      <w:r w:rsidR="00C46D57" w:rsidRPr="009971F6">
        <w:t>de U-invertido observado para a curva</w:t>
      </w:r>
      <w:r w:rsidR="00743359" w:rsidRPr="009971F6">
        <w:t>.</w:t>
      </w:r>
    </w:p>
    <w:p w14:paraId="586B6DA8" w14:textId="4344E06A" w:rsidR="00365B3E" w:rsidRPr="009971F6" w:rsidRDefault="00365B3E" w:rsidP="00365B3E">
      <w:pPr>
        <w:pStyle w:val="TextoCorridoABNT"/>
      </w:pPr>
      <w:r w:rsidRPr="009971F6">
        <w:t xml:space="preserve">A partir da </w:t>
      </w:r>
      <w:r w:rsidR="0021332F" w:rsidRPr="009971F6">
        <w:t xml:space="preserve">proposta da CAK por Grossman e Krueger (1991), vários estudos têm estudado a teoria. </w:t>
      </w:r>
      <w:r w:rsidRPr="009971F6">
        <w:t>Dent</w:t>
      </w:r>
      <w:r w:rsidR="0021332F" w:rsidRPr="009971F6">
        <w:t>r</w:t>
      </w:r>
      <w:r w:rsidRPr="009971F6">
        <w:t xml:space="preserve">e as obras que abordam o tema, </w:t>
      </w:r>
      <w:r w:rsidR="0021332F" w:rsidRPr="009971F6">
        <w:t xml:space="preserve">pode-se destacar </w:t>
      </w:r>
      <w:r w:rsidRPr="009971F6">
        <w:t>os trabalhos realizados por Panayotou (1993), Holtz-Eakin e Selden (1995) e Schmalensee (1998).</w:t>
      </w:r>
    </w:p>
    <w:p w14:paraId="4988A82F" w14:textId="77777777" w:rsidR="00A972A9" w:rsidRPr="009971F6" w:rsidRDefault="00A972A9" w:rsidP="00D3677A">
      <w:pPr>
        <w:spacing w:line="360" w:lineRule="auto"/>
        <w:jc w:val="both"/>
      </w:pPr>
    </w:p>
    <w:p w14:paraId="53C2A0F0" w14:textId="54EB9F36" w:rsidR="00FF5BE8" w:rsidRPr="009971F6" w:rsidRDefault="004D3C46" w:rsidP="00A972A9">
      <w:pPr>
        <w:pStyle w:val="Ttulo2"/>
        <w:spacing w:before="0" w:after="0"/>
        <w:ind w:firstLine="0"/>
        <w:rPr>
          <w:b/>
          <w:bCs/>
        </w:rPr>
      </w:pPr>
      <w:bookmarkStart w:id="6" w:name="_Toc130219021"/>
      <w:r w:rsidRPr="009971F6">
        <w:rPr>
          <w:b/>
          <w:bCs/>
        </w:rPr>
        <w:t>2</w:t>
      </w:r>
      <w:r w:rsidR="008B0CCF" w:rsidRPr="009971F6">
        <w:rPr>
          <w:b/>
          <w:bCs/>
        </w:rPr>
        <w:t>.4</w:t>
      </w:r>
      <w:r w:rsidR="00FF5BE8" w:rsidRPr="009971F6">
        <w:rPr>
          <w:b/>
          <w:bCs/>
        </w:rPr>
        <w:t xml:space="preserve"> T</w:t>
      </w:r>
      <w:r w:rsidR="00A972A9" w:rsidRPr="009971F6">
        <w:rPr>
          <w:b/>
          <w:bCs/>
        </w:rPr>
        <w:t>eoria da transição florestal</w:t>
      </w:r>
      <w:bookmarkEnd w:id="6"/>
    </w:p>
    <w:p w14:paraId="6A449F97" w14:textId="1F7B69D2" w:rsidR="00FE4C98" w:rsidRPr="009971F6" w:rsidRDefault="00452364" w:rsidP="00D3677A">
      <w:pPr>
        <w:spacing w:line="360" w:lineRule="auto"/>
        <w:jc w:val="both"/>
      </w:pPr>
      <w:r w:rsidRPr="009971F6">
        <w:tab/>
      </w:r>
      <w:r w:rsidR="008B49CB" w:rsidRPr="009971F6">
        <w:t xml:space="preserve">O termo transição florestal foi inicialmente proposto por Mather (1992) e refere-se à mudança nas características de uso da terra que abrange um período de constante redução da cobertura florestal seguido de um período em que predomina a expansão de florestas. </w:t>
      </w:r>
      <w:r w:rsidR="00811E72" w:rsidRPr="009971F6">
        <w:t xml:space="preserve">De forma </w:t>
      </w:r>
      <w:r w:rsidR="00957EC3" w:rsidRPr="009971F6">
        <w:t>similar</w:t>
      </w:r>
      <w:r w:rsidR="00811E72" w:rsidRPr="009971F6">
        <w:t xml:space="preserve"> ao que ocorre na CA</w:t>
      </w:r>
      <w:r w:rsidR="005C3B69" w:rsidRPr="009971F6">
        <w:t>K</w:t>
      </w:r>
      <w:r w:rsidR="001E3A74" w:rsidRPr="009971F6">
        <w:t>, que indica um</w:t>
      </w:r>
      <w:r w:rsidR="001E5D4B" w:rsidRPr="009971F6">
        <w:t xml:space="preserve">a relação entre desenvolvimento econômico </w:t>
      </w:r>
      <w:r w:rsidR="00AB3EF2" w:rsidRPr="009971F6">
        <w:t xml:space="preserve">e poluição no </w:t>
      </w:r>
      <w:r w:rsidR="001E3A74" w:rsidRPr="009971F6">
        <w:t>format</w:t>
      </w:r>
      <w:r w:rsidR="001E5D4B" w:rsidRPr="009971F6">
        <w:t>o</w:t>
      </w:r>
      <w:r w:rsidR="001E3A74" w:rsidRPr="009971F6">
        <w:t xml:space="preserve"> de “U” </w:t>
      </w:r>
      <w:r w:rsidR="009115BF" w:rsidRPr="009971F6">
        <w:t>invertido</w:t>
      </w:r>
      <w:r w:rsidR="00811E72" w:rsidRPr="009971F6">
        <w:t>,</w:t>
      </w:r>
      <w:r w:rsidR="00E6482C" w:rsidRPr="009971F6">
        <w:t xml:space="preserve"> </w:t>
      </w:r>
      <w:r w:rsidR="0029508D" w:rsidRPr="009971F6">
        <w:t xml:space="preserve">a </w:t>
      </w:r>
      <w:r w:rsidR="009115BF" w:rsidRPr="009971F6">
        <w:t xml:space="preserve">Teoria da Transição Florestal (TTF) </w:t>
      </w:r>
      <w:r w:rsidR="0029508D" w:rsidRPr="009971F6">
        <w:t>i</w:t>
      </w:r>
      <w:r w:rsidRPr="009971F6">
        <w:t>ndic</w:t>
      </w:r>
      <w:r w:rsidR="003E6459" w:rsidRPr="009971F6">
        <w:t>a</w:t>
      </w:r>
      <w:r w:rsidRPr="009971F6">
        <w:t xml:space="preserve"> a existência de uma relação </w:t>
      </w:r>
      <w:r w:rsidR="00C15C78" w:rsidRPr="009971F6">
        <w:t xml:space="preserve">com uma curva </w:t>
      </w:r>
      <w:r w:rsidR="00811E72" w:rsidRPr="009971F6">
        <w:t xml:space="preserve">em </w:t>
      </w:r>
      <w:r w:rsidRPr="009971F6">
        <w:t xml:space="preserve">formato de </w:t>
      </w:r>
      <w:r w:rsidR="00E6482C" w:rsidRPr="009971F6">
        <w:t>“</w:t>
      </w:r>
      <w:r w:rsidRPr="009971F6">
        <w:t>U</w:t>
      </w:r>
      <w:r w:rsidR="00E6482C" w:rsidRPr="009971F6">
        <w:t>”</w:t>
      </w:r>
      <w:r w:rsidR="00A01DB9" w:rsidRPr="009971F6">
        <w:t xml:space="preserve"> </w:t>
      </w:r>
      <w:r w:rsidRPr="009971F6">
        <w:t>entre a cobertura florestal</w:t>
      </w:r>
      <w:r w:rsidR="003E6459" w:rsidRPr="009971F6">
        <w:t xml:space="preserve"> e o desenvolvimento econômico</w:t>
      </w:r>
      <w:r w:rsidRPr="009971F6">
        <w:t xml:space="preserve">. De acordo com Barbier </w:t>
      </w:r>
      <w:r w:rsidRPr="009971F6">
        <w:rPr>
          <w:i/>
          <w:iCs/>
        </w:rPr>
        <w:t>et al.</w:t>
      </w:r>
      <w:r w:rsidRPr="009971F6">
        <w:t xml:space="preserve"> 2017, essa transição </w:t>
      </w:r>
      <w:r w:rsidR="005357AA" w:rsidRPr="009971F6">
        <w:t>se refere</w:t>
      </w:r>
      <w:r w:rsidRPr="009971F6">
        <w:t xml:space="preserve"> as mudanças de longo prazo que ocorrem nas florestas e na sociedade em seu entorno e descrevem </w:t>
      </w:r>
      <w:r w:rsidRPr="009971F6">
        <w:lastRenderedPageBreak/>
        <w:t xml:space="preserve">o </w:t>
      </w:r>
      <w:r w:rsidR="00E17546" w:rsidRPr="009971F6">
        <w:t>período</w:t>
      </w:r>
      <w:r w:rsidRPr="009971F6">
        <w:t xml:space="preserve"> em que o declínio da área da floresta é substituído pela recuperação florestal.</w:t>
      </w:r>
      <w:r w:rsidR="00FF5BE8" w:rsidRPr="009971F6">
        <w:t xml:space="preserve"> A curva que representa a transição pode ser explicada em 4 fases distintas, conforme apresentado na figura </w:t>
      </w:r>
      <w:r w:rsidR="006D7ED5" w:rsidRPr="009971F6">
        <w:t>3</w:t>
      </w:r>
      <w:r w:rsidR="00FF5BE8" w:rsidRPr="009971F6">
        <w:t>.</w:t>
      </w:r>
    </w:p>
    <w:p w14:paraId="1388E1C0" w14:textId="77777777" w:rsidR="005427AE" w:rsidRPr="009971F6" w:rsidRDefault="005427AE" w:rsidP="00D3677A">
      <w:pPr>
        <w:spacing w:line="360" w:lineRule="auto"/>
        <w:jc w:val="both"/>
      </w:pPr>
    </w:p>
    <w:p w14:paraId="1686FEEA" w14:textId="77777777" w:rsidR="00613022" w:rsidRPr="009971F6" w:rsidRDefault="00F619BB" w:rsidP="00613022">
      <w:pPr>
        <w:spacing w:line="360" w:lineRule="auto"/>
        <w:jc w:val="both"/>
      </w:pPr>
      <w:r w:rsidRPr="009971F6">
        <w:rPr>
          <w:b/>
        </w:rPr>
        <w:t xml:space="preserve">Figura </w:t>
      </w:r>
      <w:r w:rsidR="006D7ED5" w:rsidRPr="009971F6">
        <w:rPr>
          <w:b/>
        </w:rPr>
        <w:t>3</w:t>
      </w:r>
      <w:r w:rsidRPr="009971F6">
        <w:rPr>
          <w:b/>
        </w:rPr>
        <w:t>.</w:t>
      </w:r>
      <w:r w:rsidRPr="009971F6">
        <w:rPr>
          <w:bCs/>
        </w:rPr>
        <w:t xml:space="preserve"> </w:t>
      </w:r>
      <w:r w:rsidR="00613022" w:rsidRPr="009971F6">
        <w:t>Fases do processo de transição florestal (Fases I a IV) e a variação da cobertura florestal</w:t>
      </w:r>
    </w:p>
    <w:p w14:paraId="53EE1ECA" w14:textId="77777777" w:rsidR="00613022" w:rsidRPr="009971F6" w:rsidRDefault="00613022" w:rsidP="00613022">
      <w:pPr>
        <w:spacing w:line="360" w:lineRule="auto"/>
      </w:pPr>
      <w:r w:rsidRPr="009971F6">
        <w:rPr>
          <w:noProof/>
        </w:rPr>
        <w:drawing>
          <wp:inline distT="0" distB="0" distL="0" distR="0" wp14:anchorId="74866C9A" wp14:editId="640136F8">
            <wp:extent cx="6120130" cy="3597910"/>
            <wp:effectExtent l="0" t="0" r="0" b="2540"/>
            <wp:docPr id="33" name="Imagem 33" descr="Uma imagem contend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33" descr="Uma imagem contendo Gráfico de linhas&#10;&#10;Descrição gerada automaticamente"/>
                    <pic:cNvPicPr/>
                  </pic:nvPicPr>
                  <pic:blipFill>
                    <a:blip r:embed="rId10"/>
                    <a:stretch>
                      <a:fillRect/>
                    </a:stretch>
                  </pic:blipFill>
                  <pic:spPr>
                    <a:xfrm>
                      <a:off x="0" y="0"/>
                      <a:ext cx="6120130" cy="3597910"/>
                    </a:xfrm>
                    <a:prstGeom prst="rect">
                      <a:avLst/>
                    </a:prstGeom>
                  </pic:spPr>
                </pic:pic>
              </a:graphicData>
            </a:graphic>
          </wp:inline>
        </w:drawing>
      </w:r>
    </w:p>
    <w:p w14:paraId="00D87FF4" w14:textId="712005AB" w:rsidR="00F619BB" w:rsidRPr="009971F6" w:rsidRDefault="00613022" w:rsidP="00613022">
      <w:pPr>
        <w:spacing w:line="360" w:lineRule="auto"/>
      </w:pPr>
      <w:r w:rsidRPr="009971F6">
        <w:t xml:space="preserve">Fonte: Elaboração própria baseado em </w:t>
      </w:r>
      <w:r w:rsidRPr="009971F6">
        <w:fldChar w:fldCharType="begin" w:fldLock="1"/>
      </w:r>
      <w:r w:rsidRPr="009971F6">
        <w:instrText>ADDIN CSL_CITATION {"citationItems":[{"id":"ITEM-1","itemData":{"DOI":"10.11606/T.41.2017.tde-18082017-170805","author":[{"dropping-particle":"","family":"Calaboni","given":"Adriane","non-dropping-particle":"","parse-names":false,"suffix":""}],"id":"ITEM-1","issued":{"date-parts":[["2017"]]},"number-of-pages":"102","publisher":"Universidade de São Paulo","title":"Transição Florestal no estado de São Paulo, Brasil: fatores associados ao desmatamento e recuperação das matas nativas","type":"thesis"},"uris":["http://www.mendeley.com/documents/?uuid=d4f52281-5b0f-43b1-882a-4c7c2c627076"]},{"id":"ITEM-2","itemData":{"DOI":"10.1596/1813-9450-4117","abstract":"This paper presents a framework for analyzing tropical deforestation and reforestation using the von Thunen model as its starting point: land is allocated to the use which yields the highest rent, and the rents of various land uses are determined by location. Forest cover change therefore becomes a question of changes in rent of forest versus non-forest use. While this is a simple and powerful starting point, more intriguing issues arise when this is applied to analyze real cases. An initial shift in the rent of one particular land use generates feedbacks which affect the rent of all land uses. For example, a new technology in extensive agriculture should make this land use more profitable and lead to more forest clearing, but general equilibrium effects (changes in prices and local wages) can modify or even reverse this conclusion. Another issue is how a policy change or a shift in broader market, technological, and institutional forces will affect various land use rents. The paper deals with three such areas: technological progress in agriculture, land tenure regimes, and community forest management. The second part of the paper links the von Thunen framework to the forest transition theory. The forest transition theory describes a sequence over time where a forested region goes through a period of deforestation before the forest cover eventually stabilizes and starts to increase. This sequence can be seen as a systematic pattern of change in the agricultural and forest land rents over time. Increasing agricultural rent leads to high rates of deforestation. The slow-down of deforestation and eventual reforestation is due to lower agricultural rents (the economic development path) and higher forest rent (the forest scarcity path). Various forces leading to these changes are discussed and supported by empirical evidence from different tropical regions.","author":[{"dropping-particle":"","family":"Angelsen","given":"Arild","non-dropping-particle":"","parse-names":false,"suffix":""}],"container-title":"World Bank Policy Research Working Paper","id":"ITEM-2","issue":"4117","issued":{"date-parts":[["2007"]]},"number":"4117","number-of-pages":"1-43","publisher-place":"Washington","title":"Forest Cover Change in Space and Time: Combining the Von Thunen and Forest Transition Theories","type":"report"},"uris":["http://www.mendeley.com/documents/?uuid=6cf3802f-88b5-4428-8cf1-8d95d92568b9"]}],"mendeley":{"formattedCitation":"(ANGELSEN, 2007; CALABONI, 2017)","manualFormatting":"Angelsen (2007) e Calaboni (2017)","plainTextFormattedCitation":"(ANGELSEN, 2007; CALABONI, 2017)","previouslyFormattedCitation":"(ANGELSEN, 2007; CALABONI, 2017)"},"properties":{"noteIndex":0},"schema":"https://github.com/citation-style-language/schema/raw/master/csl-citation.json"}</w:instrText>
      </w:r>
      <w:r w:rsidRPr="009971F6">
        <w:fldChar w:fldCharType="separate"/>
      </w:r>
      <w:r w:rsidRPr="009971F6">
        <w:rPr>
          <w:noProof/>
        </w:rPr>
        <w:t>Angelsen (2007) e Calaboni (2017)</w:t>
      </w:r>
      <w:r w:rsidRPr="009971F6">
        <w:fldChar w:fldCharType="end"/>
      </w:r>
      <w:r w:rsidRPr="009971F6">
        <w:t>.</w:t>
      </w:r>
    </w:p>
    <w:p w14:paraId="56F2E620" w14:textId="77777777" w:rsidR="00613022" w:rsidRPr="009971F6" w:rsidRDefault="00613022" w:rsidP="00613022">
      <w:pPr>
        <w:spacing w:line="360" w:lineRule="auto"/>
      </w:pPr>
    </w:p>
    <w:p w14:paraId="0D9D1848" w14:textId="4879B9C4" w:rsidR="00EA07D6" w:rsidRPr="009971F6" w:rsidRDefault="00EA07D6" w:rsidP="00D3677A">
      <w:pPr>
        <w:spacing w:line="360" w:lineRule="auto"/>
        <w:ind w:firstLine="851"/>
        <w:jc w:val="both"/>
      </w:pPr>
      <w:r w:rsidRPr="009971F6">
        <w:t>A fase I descreve o período no qual as florestas se encontram sem ou com pouca interferência externa devido as reduzidas atividades humanas e baixa densidade demográfica. Ela permanece nessa fase até que o avançar das atividades econômicas e humanas cause o declínio na cobertura florestal, entrando na segunda fase</w:t>
      </w:r>
      <w:r w:rsidR="00635F27" w:rsidRPr="009971F6">
        <w:t xml:space="preserve"> (CALABONI, 2017).</w:t>
      </w:r>
    </w:p>
    <w:p w14:paraId="5EB92F7C" w14:textId="77777777" w:rsidR="00EA07D6" w:rsidRPr="009971F6" w:rsidRDefault="00EA07D6" w:rsidP="00D3677A">
      <w:pPr>
        <w:spacing w:line="360" w:lineRule="auto"/>
        <w:ind w:firstLine="851"/>
        <w:jc w:val="both"/>
      </w:pPr>
      <w:r w:rsidRPr="009971F6">
        <w:t xml:space="preserve">Na fase II encontra-se o aumento da urbanização, que fomenta atividades extrativistas, e a expansão de atividades primárias que compõe a base econômica. Neste período aumenta-se a demanda por bens agrícolas para consumo e para exportação, o que aumenta a demanda pelo solo cultivável para a expansão das fronteiras agrícolas, reduzindo a cobertura </w:t>
      </w:r>
      <w:r w:rsidR="005079A7" w:rsidRPr="009971F6">
        <w:t>florestal</w:t>
      </w:r>
      <w:r w:rsidR="00635F27" w:rsidRPr="009971F6">
        <w:t xml:space="preserve"> (CALABONI, 2017).</w:t>
      </w:r>
    </w:p>
    <w:p w14:paraId="015FA422" w14:textId="77777777" w:rsidR="005079A7" w:rsidRPr="009971F6" w:rsidRDefault="005079A7" w:rsidP="00D3677A">
      <w:pPr>
        <w:spacing w:line="360" w:lineRule="auto"/>
        <w:ind w:firstLine="851"/>
        <w:jc w:val="both"/>
      </w:pPr>
      <w:r w:rsidRPr="009971F6">
        <w:t xml:space="preserve">A fase III conta com a menor concentração de cobertura florestal devido ao grande desmatamento ocorrido anteriormente. Nela, tem-se uma estabilidade na relação entre as </w:t>
      </w:r>
      <w:r w:rsidRPr="009971F6">
        <w:lastRenderedPageBreak/>
        <w:t>florestas e a fronteira agrícola, estando relacionada principalmente a fatores econômicos e geográficos, como a redução da rentabilidade do solo, mudanças demográficas e alterações no valor relativo da terra</w:t>
      </w:r>
      <w:r w:rsidR="00635F27" w:rsidRPr="009971F6">
        <w:t xml:space="preserve"> (CALABONI, 2017).</w:t>
      </w:r>
    </w:p>
    <w:p w14:paraId="4D285809" w14:textId="6A23A060" w:rsidR="008A6DD1" w:rsidRPr="009971F6" w:rsidRDefault="005079A7" w:rsidP="00D3677A">
      <w:pPr>
        <w:spacing w:line="360" w:lineRule="auto"/>
        <w:ind w:firstLine="851"/>
        <w:jc w:val="both"/>
      </w:pPr>
      <w:r w:rsidRPr="009971F6">
        <w:t xml:space="preserve">A quarta e última fase </w:t>
      </w:r>
      <w:r w:rsidR="00635F27" w:rsidRPr="009971F6">
        <w:t>(</w:t>
      </w:r>
      <w:r w:rsidR="0018616D" w:rsidRPr="009971F6">
        <w:t>fase</w:t>
      </w:r>
      <w:r w:rsidR="00635F27" w:rsidRPr="009971F6">
        <w:t xml:space="preserve"> IV) </w:t>
      </w:r>
      <w:r w:rsidRPr="009971F6">
        <w:t>é marcada por mudanças no quadro social, político-econômico</w:t>
      </w:r>
      <w:r w:rsidR="008A6DD1" w:rsidRPr="009971F6">
        <w:t xml:space="preserve">, </w:t>
      </w:r>
      <w:r w:rsidRPr="009971F6">
        <w:t>que promovem a preservação das florestas, seja</w:t>
      </w:r>
      <w:r w:rsidR="008A6DD1" w:rsidRPr="009971F6">
        <w:t>, por exemplo,</w:t>
      </w:r>
      <w:r w:rsidRPr="009971F6">
        <w:t xml:space="preserve"> pela valorização dos cidadãos à métodos ambientalmente sustentáveis ou por </w:t>
      </w:r>
      <w:r w:rsidR="008A6DD1" w:rsidRPr="009971F6">
        <w:t>políticas</w:t>
      </w:r>
      <w:r w:rsidRPr="009971F6">
        <w:t xml:space="preserve"> internas e externas.</w:t>
      </w:r>
      <w:r w:rsidR="008A6DD1" w:rsidRPr="009971F6">
        <w:t xml:space="preserve"> Esse novo cenário resulta em aumentos líquidos na cobertura florestal total, dado principalmente por florestas secundárias e pela regeneração natural e ativa das matas (CALABONI, 2017). </w:t>
      </w:r>
    </w:p>
    <w:p w14:paraId="704AA39F" w14:textId="0BA31E31" w:rsidR="008A6DD1" w:rsidRPr="009971F6" w:rsidRDefault="008A6DD1" w:rsidP="00D3677A">
      <w:pPr>
        <w:spacing w:line="360" w:lineRule="auto"/>
        <w:ind w:firstLine="851"/>
        <w:jc w:val="both"/>
      </w:pPr>
      <w:r w:rsidRPr="009971F6">
        <w:t xml:space="preserve">Assim como </w:t>
      </w:r>
      <w:r w:rsidR="00765A2C" w:rsidRPr="009971F6">
        <w:t>n</w:t>
      </w:r>
      <w:r w:rsidRPr="009971F6">
        <w:t>a CA</w:t>
      </w:r>
      <w:r w:rsidR="00DF36E1" w:rsidRPr="009971F6">
        <w:t>K</w:t>
      </w:r>
      <w:r w:rsidRPr="009971F6">
        <w:t xml:space="preserve">, a curva </w:t>
      </w:r>
      <w:r w:rsidR="00765A2C" w:rsidRPr="009971F6">
        <w:t xml:space="preserve">que descreve o processo </w:t>
      </w:r>
      <w:r w:rsidRPr="009971F6">
        <w:t>da TTF busca explorar a evolução de um cenário ambiental em decorrência do crescimento</w:t>
      </w:r>
      <w:r w:rsidR="00765A2C" w:rsidRPr="009971F6">
        <w:t xml:space="preserve"> e do desenvolvimento</w:t>
      </w:r>
      <w:r w:rsidRPr="009971F6">
        <w:t xml:space="preserve"> econômico. Ambas possuem estágios no qual essa relação </w:t>
      </w:r>
      <w:r w:rsidR="00765A2C" w:rsidRPr="009971F6">
        <w:t>s</w:t>
      </w:r>
      <w:r w:rsidRPr="009971F6">
        <w:t xml:space="preserve">e </w:t>
      </w:r>
      <w:r w:rsidR="00765A2C" w:rsidRPr="009971F6">
        <w:t>dá</w:t>
      </w:r>
      <w:r w:rsidRPr="009971F6">
        <w:t xml:space="preserve"> </w:t>
      </w:r>
      <w:r w:rsidR="00765A2C" w:rsidRPr="009971F6">
        <w:t xml:space="preserve">ora </w:t>
      </w:r>
      <w:r w:rsidRPr="009971F6">
        <w:t xml:space="preserve">de </w:t>
      </w:r>
      <w:r w:rsidR="00765A2C" w:rsidRPr="009971F6">
        <w:t xml:space="preserve">maneira </w:t>
      </w:r>
      <w:r w:rsidRPr="009971F6">
        <w:t xml:space="preserve">positivamente relacionada e </w:t>
      </w:r>
      <w:r w:rsidR="00765A2C" w:rsidRPr="009971F6">
        <w:t xml:space="preserve">ora </w:t>
      </w:r>
      <w:r w:rsidRPr="009971F6">
        <w:t xml:space="preserve">de forma negativamente relacionada. Ademais, ambas exploram mecanismos </w:t>
      </w:r>
      <w:r w:rsidR="00875A70" w:rsidRPr="009971F6">
        <w:t xml:space="preserve">de mudança na relação ao longo do tempo </w:t>
      </w:r>
      <w:r w:rsidRPr="009971F6">
        <w:t>similares, como a sociedade, a economia e os métodos produtivos.</w:t>
      </w:r>
    </w:p>
    <w:p w14:paraId="7A740378" w14:textId="33BF167E" w:rsidR="00FC7928" w:rsidRPr="009971F6" w:rsidRDefault="003E6459" w:rsidP="00D3677A">
      <w:pPr>
        <w:spacing w:line="360" w:lineRule="auto"/>
        <w:ind w:firstLine="851"/>
        <w:jc w:val="both"/>
      </w:pPr>
      <w:r w:rsidRPr="009971F6">
        <w:t xml:space="preserve">A </w:t>
      </w:r>
      <w:r w:rsidR="00FC7928" w:rsidRPr="009971F6">
        <w:t>transição</w:t>
      </w:r>
      <w:r w:rsidR="009E663A" w:rsidRPr="009971F6">
        <w:t xml:space="preserve"> </w:t>
      </w:r>
      <w:r w:rsidR="00FC7928" w:rsidRPr="009971F6">
        <w:t xml:space="preserve">é dada como um processo natural, com estudos </w:t>
      </w:r>
      <w:r w:rsidRPr="009971F6">
        <w:t>indicando</w:t>
      </w:r>
      <w:r w:rsidR="00FC7928" w:rsidRPr="009971F6">
        <w:t xml:space="preserve"> que </w:t>
      </w:r>
      <w:r w:rsidRPr="009971F6">
        <w:t>países como a França e o Brasil já apresentam aumentos líquidos em sua área florestal (MATHER, 1992). Todavia, o</w:t>
      </w:r>
      <w:r w:rsidR="00A276C2" w:rsidRPr="009971F6">
        <w:t>s</w:t>
      </w:r>
      <w:r w:rsidRPr="009971F6">
        <w:t xml:space="preserve"> mecanismo</w:t>
      </w:r>
      <w:r w:rsidR="00A276C2" w:rsidRPr="009971F6">
        <w:t>s</w:t>
      </w:r>
      <w:r w:rsidRPr="009971F6">
        <w:t xml:space="preserve"> para a ocorrência dessa mudança </w:t>
      </w:r>
      <w:r w:rsidR="00A276C2" w:rsidRPr="009971F6">
        <w:t>são</w:t>
      </w:r>
      <w:r w:rsidRPr="009971F6">
        <w:t xml:space="preserve"> </w:t>
      </w:r>
      <w:r w:rsidR="00A276C2" w:rsidRPr="009971F6">
        <w:t>específicos</w:t>
      </w:r>
      <w:r w:rsidRPr="009971F6">
        <w:t xml:space="preserve"> para cada região e </w:t>
      </w:r>
      <w:r w:rsidR="00A276C2" w:rsidRPr="009971F6">
        <w:t xml:space="preserve">época, sendo interpretado </w:t>
      </w:r>
      <w:r w:rsidR="008C3548" w:rsidRPr="009971F6">
        <w:t xml:space="preserve">de diversas formas </w:t>
      </w:r>
      <w:r w:rsidR="00A276C2" w:rsidRPr="009971F6">
        <w:t>por diferentes autores.</w:t>
      </w:r>
    </w:p>
    <w:p w14:paraId="4FB60469" w14:textId="7649F2AE" w:rsidR="003E6459" w:rsidRPr="009971F6" w:rsidRDefault="00A276C2" w:rsidP="00D3677A">
      <w:pPr>
        <w:spacing w:line="360" w:lineRule="auto"/>
        <w:ind w:firstLine="851"/>
        <w:jc w:val="both"/>
      </w:pPr>
      <w:r w:rsidRPr="009971F6">
        <w:t xml:space="preserve">De acordo com Rudel </w:t>
      </w:r>
      <w:r w:rsidRPr="009971F6">
        <w:rPr>
          <w:i/>
          <w:iCs/>
        </w:rPr>
        <w:t>et al</w:t>
      </w:r>
      <w:r w:rsidR="007A6DF1" w:rsidRPr="009971F6">
        <w:rPr>
          <w:i/>
          <w:iCs/>
        </w:rPr>
        <w:t>.</w:t>
      </w:r>
      <w:r w:rsidRPr="009971F6">
        <w:t xml:space="preserve"> (2005), a transição florestal pode ser desencadeada através de dois principais fatores: a escassez de recursos florestais e o desenvolvimento econômico de uma nação. O primeiro fator supõe que a escassez de produtos florestais e ambientais fomente a transição florestal, </w:t>
      </w:r>
      <w:r w:rsidR="005D5B08" w:rsidRPr="009971F6">
        <w:t>pois</w:t>
      </w:r>
      <w:r w:rsidRPr="009971F6">
        <w:t>, conforme os produtos vão se esgotando, ocorre o aumento de seus preços e uma necessidade de maior cobertura florestal para cobrir a demanda, resultando assim no plantio e no reflorestamento d</w:t>
      </w:r>
      <w:r w:rsidR="005D5B08" w:rsidRPr="009971F6">
        <w:t>as</w:t>
      </w:r>
      <w:r w:rsidRPr="009971F6">
        <w:t xml:space="preserve"> áreas</w:t>
      </w:r>
      <w:r w:rsidR="005D5B08" w:rsidRPr="009971F6">
        <w:t xml:space="preserve">. O segundo mecanismo supõe que a migração da população rural para áreas urbanas devido ao desenvolvimento econômico resulte na regeneração natural de áreas </w:t>
      </w:r>
      <w:r w:rsidR="00851287" w:rsidRPr="009971F6">
        <w:t xml:space="preserve">marginais </w:t>
      </w:r>
      <w:r w:rsidR="005D5B08" w:rsidRPr="009971F6">
        <w:t xml:space="preserve">anteriormente desmatadas para o uso agrícola. </w:t>
      </w:r>
    </w:p>
    <w:p w14:paraId="14D406B1" w14:textId="087B5F59" w:rsidR="00E42250" w:rsidRPr="009971F6" w:rsidRDefault="00E42250" w:rsidP="00D3677A">
      <w:pPr>
        <w:spacing w:line="360" w:lineRule="auto"/>
        <w:ind w:firstLine="851"/>
        <w:jc w:val="both"/>
      </w:pPr>
      <w:r w:rsidRPr="009971F6">
        <w:t>Para Lambim e Meyfroidt (2010), as vias para a transição florestal são fundamentalmente relacionadas a dois grupos: o primeiro é o aumento da apreciação e demanda por bens e serviços naturais ocasionado pela redução destes</w:t>
      </w:r>
      <w:r w:rsidR="00955A3E" w:rsidRPr="009971F6">
        <w:t xml:space="preserve"> e</w:t>
      </w:r>
      <w:r w:rsidRPr="009971F6">
        <w:t xml:space="preserve"> o segund</w:t>
      </w:r>
      <w:r w:rsidR="002F3658" w:rsidRPr="009971F6">
        <w:t>o</w:t>
      </w:r>
      <w:r w:rsidRPr="009971F6">
        <w:t xml:space="preserve"> grupo é caracterizado por mudanças econômicas externas, como a globalização, urbanização ou o desenvolvimento, que afetam a lógica do uso da terra para um viés menos favorável </w:t>
      </w:r>
      <w:r w:rsidR="00CE2157" w:rsidRPr="009971F6">
        <w:t>à</w:t>
      </w:r>
      <w:r w:rsidRPr="009971F6">
        <w:t xml:space="preserve"> agricultura que ocasiona a recuperação natural das florestas.</w:t>
      </w:r>
    </w:p>
    <w:p w14:paraId="25115FE9" w14:textId="0935F6AF" w:rsidR="005D5B08" w:rsidRPr="009971F6" w:rsidRDefault="00E42250" w:rsidP="00D3677A">
      <w:pPr>
        <w:spacing w:line="360" w:lineRule="auto"/>
        <w:ind w:firstLine="851"/>
        <w:jc w:val="both"/>
      </w:pPr>
      <w:r w:rsidRPr="009971F6">
        <w:lastRenderedPageBreak/>
        <w:t>Segundo Mather e N</w:t>
      </w:r>
      <w:r w:rsidR="00F573C3" w:rsidRPr="009971F6">
        <w:t>ee</w:t>
      </w:r>
      <w:r w:rsidRPr="009971F6">
        <w:t>dle (</w:t>
      </w:r>
      <w:r w:rsidR="00FE3543" w:rsidRPr="009971F6">
        <w:t>1998</w:t>
      </w:r>
      <w:r w:rsidRPr="009971F6">
        <w:t>) e Grainger (2008), os níveis de cobertura florestal podem variar ao longo da transição florestal</w:t>
      </w:r>
      <w:r w:rsidR="00755617" w:rsidRPr="009971F6">
        <w:t xml:space="preserve">. </w:t>
      </w:r>
      <w:r w:rsidRPr="009971F6">
        <w:t xml:space="preserve">Isso </w:t>
      </w:r>
      <w:r w:rsidR="00755617" w:rsidRPr="009971F6">
        <w:t>pode ocorrer</w:t>
      </w:r>
      <w:r w:rsidRPr="009971F6">
        <w:t xml:space="preserve"> por mudanças nas condições e políticas vigentes</w:t>
      </w:r>
      <w:r w:rsidR="00755617" w:rsidRPr="009971F6">
        <w:t xml:space="preserve"> </w:t>
      </w:r>
      <w:r w:rsidRPr="009971F6">
        <w:t xml:space="preserve">que </w:t>
      </w:r>
      <w:r w:rsidR="00755617" w:rsidRPr="009971F6">
        <w:t>causam</w:t>
      </w:r>
      <w:r w:rsidRPr="009971F6">
        <w:t xml:space="preserve"> </w:t>
      </w:r>
      <w:r w:rsidR="00755617" w:rsidRPr="009971F6">
        <w:t>oscilações nos níveis de cobertura florestal e pelo deslocamento da produção agrícola para áreas mais férteis, o que promove o reflorestamento das áreas menos produtivas (MATHER</w:t>
      </w:r>
      <w:r w:rsidR="00F12D41" w:rsidRPr="009971F6">
        <w:t>; NEEDLE;</w:t>
      </w:r>
      <w:r w:rsidR="00755617" w:rsidRPr="009971F6">
        <w:t xml:space="preserve"> </w:t>
      </w:r>
      <w:r w:rsidR="00F12D41" w:rsidRPr="009971F6">
        <w:t>1998</w:t>
      </w:r>
      <w:r w:rsidR="00755617" w:rsidRPr="009971F6">
        <w:t>). Ainda, forças do mercado madeireiro podem promover de forma desigual tanto o plantio quanto o desmatamento em diferentes regiões do país (GRAINGER, 2008).</w:t>
      </w:r>
    </w:p>
    <w:p w14:paraId="26993C8C" w14:textId="080CD6EA" w:rsidR="00C02FB1" w:rsidRPr="009971F6" w:rsidRDefault="00867328" w:rsidP="00D3677A">
      <w:pPr>
        <w:spacing w:line="360" w:lineRule="auto"/>
        <w:ind w:firstLine="851"/>
        <w:jc w:val="both"/>
      </w:pPr>
      <w:r w:rsidRPr="009971F6">
        <w:t>A Amazônia tem suas particularidades no que diz respeito a transição florestal. Seu processo de uso d</w:t>
      </w:r>
      <w:r w:rsidR="0001272B" w:rsidRPr="009971F6">
        <w:t>a</w:t>
      </w:r>
      <w:r w:rsidRPr="009971F6">
        <w:t xml:space="preserve"> terra está ligado a diversos fatores socioeconômicos e biofísicos que promovem mudanças nas atividades econômicas de modo cíclico. No curto prazo, áreas florestais são desmatadas para dar espaço a fronteira agrícola. No médio prazo, ocorre o abandonamento de áreas agrícola devido a degradação do solo ou rotação, o que promove o surgimento de florestas secundárias</w:t>
      </w:r>
      <w:r w:rsidR="00151244" w:rsidRPr="009971F6">
        <w:t>,</w:t>
      </w:r>
      <w:r w:rsidRPr="009971F6">
        <w:t xml:space="preserve"> naturalmente ou por reflorestamento. No longo prazo</w:t>
      </w:r>
      <w:r w:rsidR="00151244" w:rsidRPr="009971F6">
        <w:t>, as florestas secundárias são desmatadas para que seu solo seja incorporado novamente no sistema produtivo (PERZ; SKOLE, 2003</w:t>
      </w:r>
      <w:r w:rsidR="00582330" w:rsidRPr="009971F6">
        <w:t xml:space="preserve">; </w:t>
      </w:r>
      <w:r w:rsidR="00151244" w:rsidRPr="009971F6">
        <w:t>SARAIVA et al, 2020).</w:t>
      </w:r>
      <w:r w:rsidRPr="009971F6">
        <w:t xml:space="preserve"> </w:t>
      </w:r>
    </w:p>
    <w:p w14:paraId="019A55AF" w14:textId="77777777" w:rsidR="00A972A9" w:rsidRPr="009971F6" w:rsidRDefault="00A972A9" w:rsidP="00A972A9">
      <w:pPr>
        <w:pStyle w:val="Ttulo2"/>
        <w:spacing w:before="0" w:after="0"/>
        <w:ind w:firstLine="0"/>
      </w:pPr>
      <w:bookmarkStart w:id="7" w:name="_Toc130219022"/>
    </w:p>
    <w:p w14:paraId="5FB48499" w14:textId="78263348" w:rsidR="00B60CDF" w:rsidRPr="009971F6" w:rsidRDefault="008B0CCF" w:rsidP="00A972A9">
      <w:pPr>
        <w:pStyle w:val="Ttulo2"/>
        <w:spacing w:before="0" w:after="0"/>
        <w:ind w:firstLine="0"/>
        <w:rPr>
          <w:b/>
          <w:bCs/>
        </w:rPr>
      </w:pPr>
      <w:r w:rsidRPr="009971F6">
        <w:rPr>
          <w:b/>
          <w:bCs/>
        </w:rPr>
        <w:t>2.5</w:t>
      </w:r>
      <w:r w:rsidR="00B60CDF" w:rsidRPr="009971F6">
        <w:rPr>
          <w:b/>
          <w:bCs/>
        </w:rPr>
        <w:t xml:space="preserve"> </w:t>
      </w:r>
      <w:r w:rsidR="00A972A9" w:rsidRPr="009971F6">
        <w:rPr>
          <w:b/>
          <w:bCs/>
        </w:rPr>
        <w:t>Valor do uso da terra</w:t>
      </w:r>
      <w:bookmarkEnd w:id="7"/>
    </w:p>
    <w:p w14:paraId="30B2C36B" w14:textId="7D6F4FBC" w:rsidR="00082855" w:rsidRPr="009971F6" w:rsidRDefault="00F27D49" w:rsidP="00417125">
      <w:pPr>
        <w:spacing w:line="360" w:lineRule="auto"/>
        <w:ind w:firstLine="851"/>
        <w:jc w:val="both"/>
      </w:pPr>
      <w:bookmarkStart w:id="8" w:name="x__Hlk103163790"/>
      <w:r w:rsidRPr="009971F6">
        <w:t>De forma geral, o</w:t>
      </w:r>
      <w:r w:rsidR="00082855" w:rsidRPr="009971F6">
        <w:t xml:space="preserve"> uso da terra por agentes econômicos leva em consideração seu valor relativo. As decisões quanto a alocação d</w:t>
      </w:r>
      <w:r w:rsidR="00221214" w:rsidRPr="009971F6">
        <w:t xml:space="preserve">as áreas para </w:t>
      </w:r>
      <w:r w:rsidR="00082855" w:rsidRPr="009971F6">
        <w:t>os</w:t>
      </w:r>
      <w:r w:rsidR="00765A2C" w:rsidRPr="009971F6">
        <w:t xml:space="preserve"> diferentes</w:t>
      </w:r>
      <w:r w:rsidR="00082855" w:rsidRPr="009971F6">
        <w:t xml:space="preserve"> usos da terra tem base comparativa e apresentam caráter dinâmico, transformando-se ao longo do tempo.</w:t>
      </w:r>
      <w:bookmarkEnd w:id="8"/>
      <w:r w:rsidR="00417125" w:rsidRPr="009971F6">
        <w:t xml:space="preserve"> </w:t>
      </w:r>
      <w:r w:rsidR="00082855" w:rsidRPr="009971F6">
        <w:t xml:space="preserve">Durante o processo de transição florestal, as alocações da terra estão baseadas no valor </w:t>
      </w:r>
      <w:r w:rsidR="00417125" w:rsidRPr="009971F6">
        <w:t>do seu retorno financeiro para os diferentes usos</w:t>
      </w:r>
      <w:r w:rsidR="00082855" w:rsidRPr="009971F6">
        <w:t xml:space="preserve">. </w:t>
      </w:r>
      <w:r w:rsidR="004B3DB5" w:rsidRPr="009971F6">
        <w:t>A</w:t>
      </w:r>
      <w:r w:rsidR="00082855" w:rsidRPr="009971F6">
        <w:t xml:space="preserve"> diminuição da base florestal </w:t>
      </w:r>
      <w:r w:rsidR="00417125" w:rsidRPr="009971F6">
        <w:t xml:space="preserve">em uma região </w:t>
      </w:r>
      <w:r w:rsidR="004B3DB5" w:rsidRPr="009971F6">
        <w:t xml:space="preserve">costuma </w:t>
      </w:r>
      <w:r w:rsidR="00417125" w:rsidRPr="009971F6">
        <w:t>estar vinculada a</w:t>
      </w:r>
      <w:r w:rsidR="00082855" w:rsidRPr="009971F6">
        <w:t xml:space="preserve"> </w:t>
      </w:r>
      <w:r w:rsidR="004B3DB5" w:rsidRPr="009971F6">
        <w:t>uma</w:t>
      </w:r>
      <w:r w:rsidR="00082855" w:rsidRPr="009971F6">
        <w:t xml:space="preserve"> expansão da fronteira agrícola</w:t>
      </w:r>
      <w:r w:rsidR="004B3DB5" w:rsidRPr="009971F6">
        <w:t xml:space="preserve">. </w:t>
      </w:r>
      <w:r w:rsidR="00417125" w:rsidRPr="009971F6">
        <w:t xml:space="preserve">O processo inverso também é verdadeiro, </w:t>
      </w:r>
      <w:r w:rsidR="004B3DB5" w:rsidRPr="009971F6">
        <w:t>quando ocorre aumento líquido de florestas, espera-se ter uma redução das áreas agrícolas.</w:t>
      </w:r>
      <w:r w:rsidR="00082855" w:rsidRPr="009971F6">
        <w:t xml:space="preserve"> Estas mudanças estão relacionadas aos benefícios relativos que os agentes </w:t>
      </w:r>
      <w:r w:rsidR="004B3DB5" w:rsidRPr="009971F6">
        <w:t>têm</w:t>
      </w:r>
      <w:r w:rsidR="00082855" w:rsidRPr="009971F6">
        <w:t xml:space="preserve"> com a alocação de terra, </w:t>
      </w:r>
      <w:r w:rsidR="004B3DB5" w:rsidRPr="009971F6">
        <w:t>que variam</w:t>
      </w:r>
      <w:r w:rsidR="00082855" w:rsidRPr="009971F6">
        <w:t xml:space="preserve"> de acordo com diversos fatores. Sinais do mercado madeireiro, a preferência pela preservação de ecossistemas, leis de proteção ambiental, infraestrutura e, de modo geral, os custos de oportunidade e da conversão agrícola são alguns dos fatores que influenciam a tomada de decisão quanto </w:t>
      </w:r>
      <w:r w:rsidR="00417125" w:rsidRPr="009971F6">
        <w:t>à</w:t>
      </w:r>
      <w:r w:rsidR="00082855" w:rsidRPr="009971F6">
        <w:t xml:space="preserve"> alocação do uso da terra (BARBIER </w:t>
      </w:r>
      <w:r w:rsidR="00082855" w:rsidRPr="009971F6">
        <w:rPr>
          <w:i/>
          <w:iCs/>
        </w:rPr>
        <w:t>et al</w:t>
      </w:r>
      <w:r w:rsidR="00DF36E1" w:rsidRPr="009971F6">
        <w:rPr>
          <w:i/>
          <w:iCs/>
        </w:rPr>
        <w:t>.</w:t>
      </w:r>
      <w:r w:rsidR="00082855" w:rsidRPr="009971F6">
        <w:t>, 2010)</w:t>
      </w:r>
      <w:r w:rsidR="00BC5E47" w:rsidRPr="009971F6">
        <w:t>.</w:t>
      </w:r>
    </w:p>
    <w:p w14:paraId="71B80A75" w14:textId="7F5F21BF" w:rsidR="00082855" w:rsidRPr="009971F6" w:rsidRDefault="00082855" w:rsidP="00201F44">
      <w:pPr>
        <w:spacing w:line="360" w:lineRule="auto"/>
        <w:ind w:firstLine="851"/>
        <w:jc w:val="both"/>
      </w:pPr>
      <w:r w:rsidRPr="009971F6">
        <w:t xml:space="preserve">Os agentes podem optar pela preservação ambiental caso os benefícios marginais </w:t>
      </w:r>
      <w:r w:rsidR="00F30658" w:rsidRPr="009971F6">
        <w:t>sej</w:t>
      </w:r>
      <w:r w:rsidR="009E41D2" w:rsidRPr="009971F6">
        <w:t>a</w:t>
      </w:r>
      <w:r w:rsidR="00F30658" w:rsidRPr="009971F6">
        <w:t>m</w:t>
      </w:r>
      <w:r w:rsidRPr="009971F6">
        <w:t xml:space="preserve"> maiores do que aqueles para a transformação da área para agropecuária. O preço da madeira e os benefícios </w:t>
      </w:r>
      <w:r w:rsidR="009E41D2" w:rsidRPr="009971F6">
        <w:t>ecossistêmicos</w:t>
      </w:r>
      <w:r w:rsidRPr="009971F6">
        <w:t xml:space="preserve"> podem tornar atrativa a produção de </w:t>
      </w:r>
      <w:r w:rsidR="004B3DB5" w:rsidRPr="009971F6">
        <w:t xml:space="preserve">madeira e a conservação ambiental </w:t>
      </w:r>
      <w:r w:rsidRPr="009971F6">
        <w:t xml:space="preserve">para os agentes. O custo de oportunidade da conversão de florestas para </w:t>
      </w:r>
      <w:r w:rsidRPr="009971F6">
        <w:lastRenderedPageBreak/>
        <w:t>terra agrícola aumenta conforme a área florestal diminui e a escassez de produtos advindos das florestas aumenta.</w:t>
      </w:r>
      <w:r w:rsidR="00201F44" w:rsidRPr="009971F6">
        <w:t xml:space="preserve"> Ainda e</w:t>
      </w:r>
      <w:r w:rsidRPr="009971F6">
        <w:t xml:space="preserve">m relação a tomada de decisão quanto ao uso da terra, </w:t>
      </w:r>
      <w:r w:rsidR="00201F44" w:rsidRPr="009971F6">
        <w:t xml:space="preserve">para que </w:t>
      </w:r>
      <w:r w:rsidRPr="009971F6">
        <w:t>uma alocação eficiente se</w:t>
      </w:r>
      <w:r w:rsidR="00201F44" w:rsidRPr="009971F6">
        <w:t>ja</w:t>
      </w:r>
      <w:r w:rsidRPr="009971F6">
        <w:t xml:space="preserve"> atingida</w:t>
      </w:r>
      <w:r w:rsidR="00201F44" w:rsidRPr="009971F6">
        <w:t>,</w:t>
      </w:r>
      <w:r w:rsidRPr="009971F6">
        <w:t xml:space="preserve"> os benefícios marginais d</w:t>
      </w:r>
      <w:r w:rsidR="0040390E" w:rsidRPr="009971F6">
        <w:t xml:space="preserve">os produtos obtidos com uma exploração florestal sustentável </w:t>
      </w:r>
      <w:r w:rsidRPr="009971F6">
        <w:t xml:space="preserve">e os </w:t>
      </w:r>
      <w:r w:rsidR="004B3DB5" w:rsidRPr="009971F6">
        <w:t xml:space="preserve">benefícios da conservação </w:t>
      </w:r>
      <w:r w:rsidRPr="009971F6">
        <w:t>ambienta</w:t>
      </w:r>
      <w:r w:rsidR="004B3DB5" w:rsidRPr="009971F6">
        <w:t>l</w:t>
      </w:r>
      <w:r w:rsidRPr="009971F6">
        <w:t xml:space="preserve"> </w:t>
      </w:r>
      <w:r w:rsidR="00B16C74" w:rsidRPr="009971F6">
        <w:t>devem ser</w:t>
      </w:r>
      <w:r w:rsidRPr="009971F6">
        <w:t xml:space="preserve"> equivalentes ao benefício marginal da produção agrícola </w:t>
      </w:r>
      <w:r w:rsidR="00B16C74" w:rsidRPr="009971F6">
        <w:t>da</w:t>
      </w:r>
      <w:r w:rsidRPr="009971F6">
        <w:t xml:space="preserve"> área convertida (BARBIER</w:t>
      </w:r>
      <w:r w:rsidR="00F27D49" w:rsidRPr="009971F6">
        <w:t xml:space="preserve"> e</w:t>
      </w:r>
      <w:r w:rsidRPr="009971F6">
        <w:t xml:space="preserve"> BURGE</w:t>
      </w:r>
      <w:r w:rsidR="004236C8" w:rsidRPr="009971F6">
        <w:t>SS</w:t>
      </w:r>
      <w:r w:rsidRPr="009971F6">
        <w:t>, 1997</w:t>
      </w:r>
      <w:r w:rsidR="00BC5E47" w:rsidRPr="009971F6">
        <w:rPr>
          <w:i/>
          <w:iCs/>
        </w:rPr>
        <w:t>;</w:t>
      </w:r>
      <w:r w:rsidRPr="009971F6">
        <w:rPr>
          <w:i/>
          <w:iCs/>
        </w:rPr>
        <w:t xml:space="preserve"> </w:t>
      </w:r>
      <w:r w:rsidRPr="009971F6">
        <w:t>SARAIVA</w:t>
      </w:r>
      <w:r w:rsidR="00BC5E47" w:rsidRPr="009971F6">
        <w:t>,</w:t>
      </w:r>
      <w:r w:rsidRPr="009971F6">
        <w:t xml:space="preserve"> 2017).</w:t>
      </w:r>
    </w:p>
    <w:p w14:paraId="048CF519" w14:textId="77777777" w:rsidR="00570630" w:rsidRPr="009971F6" w:rsidRDefault="00082855" w:rsidP="00570630">
      <w:pPr>
        <w:spacing w:line="360" w:lineRule="auto"/>
        <w:ind w:firstLine="851"/>
        <w:jc w:val="both"/>
      </w:pPr>
      <w:r w:rsidRPr="009971F6">
        <w:t xml:space="preserve">A dinâmica da cobertura florestal e do uso da terra são dependentes dos valores competitivos utilizados na tomada de decisão. Todavia, esses valores podem se diferenciar dos valores ótimos devido </w:t>
      </w:r>
      <w:r w:rsidR="0042559B" w:rsidRPr="009971F6">
        <w:t>a</w:t>
      </w:r>
      <w:r w:rsidRPr="009971F6">
        <w:t xml:space="preserve"> falhas de mercados, políticas e</w:t>
      </w:r>
      <w:r w:rsidR="00185124" w:rsidRPr="009971F6">
        <w:t>ntre outros</w:t>
      </w:r>
      <w:r w:rsidRPr="009971F6">
        <w:t xml:space="preserve"> fatores externos, que podem fomentar uma conversão excessiva de áreas florestais para espaços agrícolas e adiar o processo de transição florestal no </w:t>
      </w:r>
      <w:r w:rsidR="006C30E4" w:rsidRPr="009971F6">
        <w:t>país</w:t>
      </w:r>
      <w:r w:rsidRPr="009971F6">
        <w:t xml:space="preserve"> (BARBIER </w:t>
      </w:r>
      <w:r w:rsidRPr="009971F6">
        <w:rPr>
          <w:i/>
          <w:iCs/>
        </w:rPr>
        <w:t>et al</w:t>
      </w:r>
      <w:r w:rsidR="00DF36E1" w:rsidRPr="009971F6">
        <w:rPr>
          <w:i/>
          <w:iCs/>
        </w:rPr>
        <w:t>.</w:t>
      </w:r>
      <w:r w:rsidRPr="009971F6">
        <w:t>, 2010)</w:t>
      </w:r>
      <w:r w:rsidR="00570630" w:rsidRPr="009971F6">
        <w:t xml:space="preserve">. </w:t>
      </w:r>
    </w:p>
    <w:p w14:paraId="0C20227E" w14:textId="77777777" w:rsidR="00570630" w:rsidRPr="009971F6" w:rsidRDefault="00082855" w:rsidP="00570630">
      <w:pPr>
        <w:spacing w:line="360" w:lineRule="auto"/>
        <w:ind w:firstLine="851"/>
        <w:jc w:val="both"/>
      </w:pPr>
      <w:r w:rsidRPr="009971F6">
        <w:t xml:space="preserve">Um exemplo de fator que provoca aumento no desmatamento e o adiamento da transição florestal é a presença de infraestruturas de transporte. A construção de estradas permite um menor custo de transporte para as regiões e diminui consequentemente o custo de conversão das áreas florestais para terras agrícolas (WEINHOLD </w:t>
      </w:r>
      <w:r w:rsidR="00DF36E1" w:rsidRPr="009971F6">
        <w:t>e</w:t>
      </w:r>
      <w:r w:rsidRPr="009971F6">
        <w:t xml:space="preserve"> REIS, 2008</w:t>
      </w:r>
      <w:r w:rsidR="0081784D" w:rsidRPr="009971F6">
        <w:t>)</w:t>
      </w:r>
      <w:r w:rsidR="00570630" w:rsidRPr="009971F6">
        <w:t>.</w:t>
      </w:r>
    </w:p>
    <w:p w14:paraId="01E52ACD" w14:textId="61621DDA" w:rsidR="00082855" w:rsidRPr="009971F6" w:rsidRDefault="00082855" w:rsidP="00570630">
      <w:pPr>
        <w:spacing w:line="360" w:lineRule="auto"/>
        <w:ind w:firstLine="851"/>
        <w:jc w:val="both"/>
      </w:pPr>
      <w:r w:rsidRPr="009971F6">
        <w:t xml:space="preserve">Por outro lado, algumas políticas podem ser efetivas para reduzir o desmatamento e acelerar o processo de transição. A restrição de crédito rural para áreas fora da legislação ambiental </w:t>
      </w:r>
      <w:r w:rsidR="006C30E4" w:rsidRPr="009971F6">
        <w:t>desincentiva</w:t>
      </w:r>
      <w:r w:rsidRPr="009971F6">
        <w:t xml:space="preserve"> o desmatamento ilegal e aumenta o custo de oportunidade da conversão florestal para área agrícola (ASSUNÇÃO </w:t>
      </w:r>
      <w:r w:rsidRPr="009971F6">
        <w:rPr>
          <w:i/>
          <w:iCs/>
        </w:rPr>
        <w:t>et al</w:t>
      </w:r>
      <w:r w:rsidR="00DF36E1" w:rsidRPr="009971F6">
        <w:rPr>
          <w:i/>
          <w:iCs/>
        </w:rPr>
        <w:t>.</w:t>
      </w:r>
      <w:r w:rsidRPr="009971F6">
        <w:t xml:space="preserve"> 2015).</w:t>
      </w:r>
    </w:p>
    <w:p w14:paraId="4FA7A8B4" w14:textId="49C625A7" w:rsidR="009E663A" w:rsidRPr="009971F6" w:rsidRDefault="009E663A" w:rsidP="00D3677A">
      <w:pPr>
        <w:spacing w:line="360" w:lineRule="auto"/>
        <w:ind w:firstLine="708"/>
        <w:jc w:val="both"/>
      </w:pPr>
      <w:r w:rsidRPr="009971F6">
        <w:t xml:space="preserve">O uso do solo durante o período de transição florestal é dinâmico, podendo ser dividido em duas principais fases: a primeira fase é referente a diminuição da cobertura florestal, estando ligada a transição do uso de terra. Esta parte </w:t>
      </w:r>
      <w:r w:rsidR="0039251F" w:rsidRPr="009971F6">
        <w:t>é</w:t>
      </w:r>
      <w:r w:rsidRPr="009971F6">
        <w:t xml:space="preserve"> caracterizada pela conversão de áreas de floresta primária para o uso na agricultura e pecuária. Assim, a expansão de áreas de pastage</w:t>
      </w:r>
      <w:r w:rsidR="0088406D" w:rsidRPr="009971F6">
        <w:t>ns</w:t>
      </w:r>
      <w:r w:rsidRPr="009971F6">
        <w:t xml:space="preserve"> e a demanda por alimentos e </w:t>
      </w:r>
      <w:r w:rsidRPr="009971F6">
        <w:rPr>
          <w:i/>
          <w:iCs/>
        </w:rPr>
        <w:t>commodities</w:t>
      </w:r>
      <w:r w:rsidRPr="009971F6">
        <w:t xml:space="preserve"> causariam uma pressão ambiental sobre as áreas de florestas, ocasionando uma expansão da área agr</w:t>
      </w:r>
      <w:r w:rsidR="0088406D" w:rsidRPr="009971F6">
        <w:t>opecuária</w:t>
      </w:r>
      <w:r w:rsidRPr="009971F6">
        <w:t xml:space="preserve"> e um declínio da área florestal (BARBIER </w:t>
      </w:r>
      <w:r w:rsidRPr="009971F6">
        <w:rPr>
          <w:i/>
          <w:iCs/>
        </w:rPr>
        <w:t>et al.</w:t>
      </w:r>
      <w:r w:rsidRPr="009971F6">
        <w:t xml:space="preserve">, 2010). </w:t>
      </w:r>
    </w:p>
    <w:p w14:paraId="64593441" w14:textId="63CA403C" w:rsidR="00FE4C98" w:rsidRPr="009971F6" w:rsidRDefault="009E663A" w:rsidP="00D3677A">
      <w:pPr>
        <w:spacing w:line="360" w:lineRule="auto"/>
        <w:ind w:firstLine="851"/>
        <w:jc w:val="both"/>
      </w:pPr>
      <w:r w:rsidRPr="009971F6">
        <w:t xml:space="preserve">A segunda fase é referente a recuperação da área florestal. Nela, o processo de desenvolvimento do país levaria ao aumento na demanda por madeira e por serviços ambientalmente positivos, ocasionando a ascensão da área de florestas através de florestas secundárias e a diminuição do espaço agrícola, estabilizando a cobertura florestal. </w:t>
      </w:r>
      <w:r w:rsidR="00593839" w:rsidRPr="009971F6">
        <w:t>Nesta fase</w:t>
      </w:r>
      <w:r w:rsidRPr="009971F6">
        <w:t xml:space="preserve"> ocorre também a regeneração de áreas previamente desmatadas de forma natural (BARBIER </w:t>
      </w:r>
      <w:r w:rsidRPr="009971F6">
        <w:rPr>
          <w:i/>
          <w:iCs/>
        </w:rPr>
        <w:t>et al.</w:t>
      </w:r>
      <w:r w:rsidRPr="009971F6">
        <w:t>, 2010).</w:t>
      </w:r>
    </w:p>
    <w:p w14:paraId="0BF4AA54" w14:textId="77777777" w:rsidR="009E663A" w:rsidRPr="009971F6" w:rsidRDefault="009E663A" w:rsidP="00D3677A">
      <w:pPr>
        <w:spacing w:line="360" w:lineRule="auto"/>
        <w:jc w:val="both"/>
      </w:pPr>
    </w:p>
    <w:p w14:paraId="44370399" w14:textId="0BBA9BCD" w:rsidR="009E663A" w:rsidRPr="009971F6" w:rsidRDefault="009E663A" w:rsidP="00D3677A">
      <w:pPr>
        <w:spacing w:line="360" w:lineRule="auto"/>
        <w:rPr>
          <w:color w:val="C00000"/>
        </w:rPr>
      </w:pPr>
      <w:r w:rsidRPr="009971F6">
        <w:rPr>
          <w:b/>
        </w:rPr>
        <w:lastRenderedPageBreak/>
        <w:t xml:space="preserve">Figura </w:t>
      </w:r>
      <w:r w:rsidR="006D7ED5" w:rsidRPr="009971F6">
        <w:rPr>
          <w:b/>
        </w:rPr>
        <w:t>4</w:t>
      </w:r>
      <w:r w:rsidRPr="009971F6">
        <w:rPr>
          <w:b/>
        </w:rPr>
        <w:t>.</w:t>
      </w:r>
      <w:r w:rsidRPr="009971F6">
        <w:rPr>
          <w:bCs/>
        </w:rPr>
        <w:t xml:space="preserve"> Mudanças no uso da terra durante a transição florestal</w:t>
      </w:r>
      <w:r w:rsidR="00AD4C37" w:rsidRPr="009971F6">
        <w:rPr>
          <w:bCs/>
        </w:rPr>
        <w:t>.</w:t>
      </w:r>
    </w:p>
    <w:p w14:paraId="329B298D" w14:textId="30266D40" w:rsidR="009E663A" w:rsidRPr="009971F6" w:rsidRDefault="00464DAF" w:rsidP="00D3677A">
      <w:pPr>
        <w:spacing w:line="360" w:lineRule="auto"/>
      </w:pPr>
      <w:r w:rsidRPr="009971F6">
        <w:rPr>
          <w:noProof/>
        </w:rPr>
        <w:drawing>
          <wp:inline distT="0" distB="0" distL="0" distR="0" wp14:anchorId="3EC8A6A2" wp14:editId="75C099AD">
            <wp:extent cx="5752465" cy="213741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2465" cy="2137410"/>
                    </a:xfrm>
                    <a:prstGeom prst="rect">
                      <a:avLst/>
                    </a:prstGeom>
                    <a:noFill/>
                    <a:ln>
                      <a:noFill/>
                    </a:ln>
                  </pic:spPr>
                </pic:pic>
              </a:graphicData>
            </a:graphic>
          </wp:inline>
        </w:drawing>
      </w:r>
      <w:r w:rsidR="009E663A" w:rsidRPr="009971F6">
        <w:t xml:space="preserve">Fonte: </w:t>
      </w:r>
      <w:r w:rsidR="00213FA3" w:rsidRPr="009971F6">
        <w:t>Elaboração própria</w:t>
      </w:r>
      <w:r w:rsidR="00284B1E">
        <w:t xml:space="preserve"> com</w:t>
      </w:r>
      <w:r w:rsidR="00213FA3" w:rsidRPr="009971F6">
        <w:t xml:space="preserve"> ba</w:t>
      </w:r>
      <w:r w:rsidR="009E663A" w:rsidRPr="009971F6">
        <w:t xml:space="preserve">se em Barbier </w:t>
      </w:r>
      <w:r w:rsidR="009E663A" w:rsidRPr="009971F6">
        <w:rPr>
          <w:i/>
          <w:iCs/>
        </w:rPr>
        <w:t>et al</w:t>
      </w:r>
      <w:r w:rsidR="00213FA3" w:rsidRPr="009971F6">
        <w:rPr>
          <w:i/>
          <w:iCs/>
        </w:rPr>
        <w:t>.</w:t>
      </w:r>
      <w:r w:rsidR="009E663A" w:rsidRPr="009971F6">
        <w:t xml:space="preserve"> (2010)</w:t>
      </w:r>
    </w:p>
    <w:p w14:paraId="0595D0DB" w14:textId="77777777" w:rsidR="00082855" w:rsidRPr="009971F6" w:rsidRDefault="00082855" w:rsidP="00D3677A">
      <w:pPr>
        <w:spacing w:line="360" w:lineRule="auto"/>
        <w:ind w:left="357" w:firstLine="346"/>
        <w:jc w:val="both"/>
      </w:pPr>
    </w:p>
    <w:p w14:paraId="5F7A11BC" w14:textId="5DAA05D1" w:rsidR="00765A2C" w:rsidRPr="009971F6" w:rsidRDefault="008B0CCF" w:rsidP="00A972A9">
      <w:pPr>
        <w:pStyle w:val="Ttulo2"/>
        <w:spacing w:before="0" w:after="0"/>
        <w:ind w:firstLine="0"/>
        <w:rPr>
          <w:b/>
          <w:bCs/>
        </w:rPr>
      </w:pPr>
      <w:bookmarkStart w:id="9" w:name="_Toc130219023"/>
      <w:r w:rsidRPr="009971F6">
        <w:rPr>
          <w:b/>
          <w:bCs/>
        </w:rPr>
        <w:t>2</w:t>
      </w:r>
      <w:r w:rsidR="00765A2C" w:rsidRPr="009971F6">
        <w:rPr>
          <w:b/>
          <w:bCs/>
        </w:rPr>
        <w:t>.</w:t>
      </w:r>
      <w:r w:rsidRPr="009971F6">
        <w:rPr>
          <w:b/>
          <w:bCs/>
        </w:rPr>
        <w:t>6</w:t>
      </w:r>
      <w:r w:rsidR="00765A2C" w:rsidRPr="009971F6">
        <w:rPr>
          <w:b/>
          <w:bCs/>
        </w:rPr>
        <w:t xml:space="preserve"> </w:t>
      </w:r>
      <w:r w:rsidR="00A972A9" w:rsidRPr="009971F6">
        <w:rPr>
          <w:b/>
          <w:bCs/>
        </w:rPr>
        <w:t>Perdas ocultas</w:t>
      </w:r>
      <w:bookmarkEnd w:id="9"/>
    </w:p>
    <w:p w14:paraId="58D382C0" w14:textId="16161AB5" w:rsidR="00F93A0F" w:rsidRPr="009971F6" w:rsidRDefault="00F93A0F" w:rsidP="00D3677A">
      <w:pPr>
        <w:pStyle w:val="xmsonormal"/>
        <w:shd w:val="clear" w:color="auto" w:fill="FFFFFF"/>
        <w:spacing w:before="0" w:beforeAutospacing="0" w:after="0" w:afterAutospacing="0" w:line="360" w:lineRule="auto"/>
        <w:ind w:firstLine="851"/>
        <w:jc w:val="both"/>
      </w:pPr>
      <w:r w:rsidRPr="009971F6">
        <w:t> O surgimento de novas florestas e o aumento líquido na cobertura vegetal representam indicadores quantitativos relacionados a área florestal. É necessário atentar-se não somente a quanti</w:t>
      </w:r>
      <w:r w:rsidR="00ED51C7" w:rsidRPr="009971F6">
        <w:t>dade</w:t>
      </w:r>
      <w:r w:rsidRPr="009971F6">
        <w:t xml:space="preserve"> de florestas existentes, mas também a qualidade destas</w:t>
      </w:r>
      <w:r w:rsidR="00ED51C7" w:rsidRPr="009971F6">
        <w:t xml:space="preserve">. </w:t>
      </w:r>
      <w:r w:rsidRPr="009971F6">
        <w:t xml:space="preserve">O período de transição florestal pode ocorrer em conjunto com perdas na biodiversidade, extinção de espécie e alterações na qualidade das florestas. O desmatamento de florestas mais antigas impacta diversas espécies de seres vivos que requerem um habitat mais maduro para sobrevivência e não conseguem se adaptar nas florestas secundárias, jovens, que surgem em seu lugar. A capacidade de absorção de gás carbônico também é inferior em florestas secundárias quando comparado com as florestas primárias (ROSA </w:t>
      </w:r>
      <w:r w:rsidRPr="009971F6">
        <w:rPr>
          <w:i/>
          <w:iCs/>
        </w:rPr>
        <w:t>et al</w:t>
      </w:r>
      <w:r w:rsidR="00000A9B" w:rsidRPr="009971F6">
        <w:rPr>
          <w:i/>
          <w:iCs/>
        </w:rPr>
        <w:t>.</w:t>
      </w:r>
      <w:r w:rsidRPr="009971F6">
        <w:t>, 2021)</w:t>
      </w:r>
      <w:r w:rsidR="00000A9B" w:rsidRPr="009971F6">
        <w:t>.</w:t>
      </w:r>
    </w:p>
    <w:p w14:paraId="454BE3DB" w14:textId="74AF2614" w:rsidR="00F93A0F" w:rsidRPr="009971F6" w:rsidRDefault="00F93A0F" w:rsidP="00D3677A">
      <w:pPr>
        <w:pStyle w:val="xmsonormal"/>
        <w:shd w:val="clear" w:color="auto" w:fill="FFFFFF"/>
        <w:spacing w:before="0" w:beforeAutospacing="0" w:after="0" w:afterAutospacing="0" w:line="360" w:lineRule="auto"/>
        <w:ind w:firstLine="851"/>
        <w:jc w:val="both"/>
      </w:pPr>
      <w:r w:rsidRPr="009971F6">
        <w:t xml:space="preserve">As florestas jovens nem sempre surgem de forma uniforme ou semelhante as florestas primárias. A fragmentação de florestas também facilita a invasão de espécies exóticas que podem prejudicar o a fauna e a flora original das florestas (ROSA </w:t>
      </w:r>
      <w:r w:rsidRPr="009971F6">
        <w:rPr>
          <w:i/>
          <w:iCs/>
        </w:rPr>
        <w:t>et al</w:t>
      </w:r>
      <w:r w:rsidR="00000A9B" w:rsidRPr="009971F6">
        <w:rPr>
          <w:i/>
          <w:iCs/>
        </w:rPr>
        <w:t>.</w:t>
      </w:r>
      <w:r w:rsidRPr="009971F6">
        <w:t xml:space="preserve">, 2021). Os novos padrões de distribuição ou isolamento das árvores e florestas geram alterações nos habitats presentes nas matas e causam impactos sobre a biodiversidade do local (GIBSON </w:t>
      </w:r>
      <w:r w:rsidRPr="009971F6">
        <w:rPr>
          <w:i/>
          <w:iCs/>
        </w:rPr>
        <w:t>et al</w:t>
      </w:r>
      <w:r w:rsidR="00000A9B" w:rsidRPr="009971F6">
        <w:rPr>
          <w:i/>
          <w:iCs/>
        </w:rPr>
        <w:t>.</w:t>
      </w:r>
      <w:r w:rsidRPr="009971F6">
        <w:t>, 2011).</w:t>
      </w:r>
    </w:p>
    <w:p w14:paraId="0B7115D0" w14:textId="475E52BE" w:rsidR="00F93A0F" w:rsidRPr="009971F6" w:rsidRDefault="009D4E4D" w:rsidP="00D3677A">
      <w:pPr>
        <w:pStyle w:val="xmsonormal"/>
        <w:shd w:val="clear" w:color="auto" w:fill="FFFFFF"/>
        <w:spacing w:before="0" w:beforeAutospacing="0" w:after="0" w:afterAutospacing="0" w:line="360" w:lineRule="auto"/>
        <w:ind w:firstLine="851"/>
        <w:jc w:val="both"/>
      </w:pPr>
      <w:r w:rsidRPr="009971F6">
        <w:t>Conforme e</w:t>
      </w:r>
      <w:r w:rsidR="00F93A0F" w:rsidRPr="009971F6">
        <w:t xml:space="preserve">videnciado por Ellwanger </w:t>
      </w:r>
      <w:r w:rsidR="00F93A0F" w:rsidRPr="009971F6">
        <w:rPr>
          <w:i/>
          <w:iCs/>
        </w:rPr>
        <w:t>et al</w:t>
      </w:r>
      <w:r w:rsidR="00000A9B" w:rsidRPr="009971F6">
        <w:rPr>
          <w:i/>
          <w:iCs/>
        </w:rPr>
        <w:t>.</w:t>
      </w:r>
      <w:r w:rsidR="00F93A0F" w:rsidRPr="009971F6">
        <w:t xml:space="preserve"> (2020), o desmatamento promove diversas mudanças no clima, h</w:t>
      </w:r>
      <w:r w:rsidR="00464DAF" w:rsidRPr="009971F6">
        <w:t>á</w:t>
      </w:r>
      <w:r w:rsidR="00F93A0F" w:rsidRPr="009971F6">
        <w:t xml:space="preserve">bitat e distribuição de matas na região amazônica, fatores que podem causar impactos na saúde da população e contribuir para a disseminação </w:t>
      </w:r>
      <w:r w:rsidR="006F573B" w:rsidRPr="009971F6">
        <w:t xml:space="preserve">de </w:t>
      </w:r>
      <w:r w:rsidR="006F5253" w:rsidRPr="009971F6">
        <w:t xml:space="preserve">doenças nas </w:t>
      </w:r>
      <w:r w:rsidR="00F93A0F" w:rsidRPr="009971F6">
        <w:t>localidades próximas aos seres humanos. A recuperação e o reflorestamento de áreas degradadas é uma forma de aliviar essas mudanças</w:t>
      </w:r>
      <w:r w:rsidR="006F5253" w:rsidRPr="009971F6">
        <w:t>.</w:t>
      </w:r>
      <w:r w:rsidR="00F93A0F" w:rsidRPr="009971F6">
        <w:t xml:space="preserve"> </w:t>
      </w:r>
      <w:r w:rsidR="006F5253" w:rsidRPr="009971F6">
        <w:t>T</w:t>
      </w:r>
      <w:r w:rsidR="00F93A0F" w:rsidRPr="009971F6">
        <w:t xml:space="preserve">odavia, além de não ser tão eficiente quanto a conservação das florestas originais (ELLWANGER </w:t>
      </w:r>
      <w:r w:rsidR="00F93A0F" w:rsidRPr="009971F6">
        <w:rPr>
          <w:i/>
          <w:iCs/>
        </w:rPr>
        <w:t>et al</w:t>
      </w:r>
      <w:r w:rsidR="00000A9B" w:rsidRPr="009971F6">
        <w:rPr>
          <w:i/>
          <w:iCs/>
        </w:rPr>
        <w:t>.</w:t>
      </w:r>
      <w:r w:rsidR="00F93A0F" w:rsidRPr="009971F6">
        <w:t xml:space="preserve">, 2020), o reflorestamento </w:t>
      </w:r>
      <w:r w:rsidR="00F93A0F" w:rsidRPr="009971F6">
        <w:lastRenderedPageBreak/>
        <w:t xml:space="preserve">requer grande organização e planejamento para ser executado de forma eficiente e sem impactos indesejados no meio ambiente (BUSTAMANTE </w:t>
      </w:r>
      <w:r w:rsidR="00F93A0F" w:rsidRPr="009971F6">
        <w:rPr>
          <w:i/>
          <w:iCs/>
        </w:rPr>
        <w:t>et al</w:t>
      </w:r>
      <w:r w:rsidR="00000A9B" w:rsidRPr="009971F6">
        <w:rPr>
          <w:i/>
          <w:iCs/>
        </w:rPr>
        <w:t>.</w:t>
      </w:r>
      <w:r w:rsidR="00F93A0F" w:rsidRPr="009971F6">
        <w:t>, 2019).</w:t>
      </w:r>
    </w:p>
    <w:p w14:paraId="4BA2DAD2" w14:textId="77777777" w:rsidR="00000A9B" w:rsidRPr="009971F6" w:rsidRDefault="00000A9B" w:rsidP="00A972A9">
      <w:pPr>
        <w:pStyle w:val="Ttulo1"/>
        <w:ind w:left="0" w:firstLine="0"/>
      </w:pPr>
      <w:bookmarkStart w:id="10" w:name="_Toc130219024"/>
    </w:p>
    <w:p w14:paraId="6A8B7264" w14:textId="6C3878E0" w:rsidR="00236E89" w:rsidRPr="009971F6" w:rsidRDefault="00AF4EE7" w:rsidP="00A972A9">
      <w:pPr>
        <w:pStyle w:val="Ttulo1"/>
        <w:ind w:left="0" w:firstLine="0"/>
      </w:pPr>
      <w:r w:rsidRPr="009971F6">
        <w:t>3</w:t>
      </w:r>
      <w:r w:rsidR="00573D67" w:rsidRPr="009971F6">
        <w:t xml:space="preserve"> </w:t>
      </w:r>
      <w:r w:rsidR="00AA1043" w:rsidRPr="009971F6">
        <w:t>M</w:t>
      </w:r>
      <w:r w:rsidR="000F705B" w:rsidRPr="009971F6">
        <w:t>etodologia</w:t>
      </w:r>
      <w:bookmarkEnd w:id="10"/>
    </w:p>
    <w:p w14:paraId="417929B0" w14:textId="30C1DF64" w:rsidR="00E13BC2" w:rsidRPr="009971F6" w:rsidRDefault="00AF4EE7" w:rsidP="00A972A9">
      <w:pPr>
        <w:pStyle w:val="Ttulo2"/>
        <w:spacing w:before="0" w:after="0"/>
        <w:ind w:firstLine="0"/>
        <w:rPr>
          <w:b/>
          <w:bCs/>
        </w:rPr>
      </w:pPr>
      <w:bookmarkStart w:id="11" w:name="_Toc130219025"/>
      <w:r w:rsidRPr="009971F6">
        <w:rPr>
          <w:b/>
          <w:bCs/>
        </w:rPr>
        <w:t>3</w:t>
      </w:r>
      <w:r w:rsidR="00E13BC2" w:rsidRPr="009971F6">
        <w:rPr>
          <w:b/>
          <w:bCs/>
        </w:rPr>
        <w:t>.</w:t>
      </w:r>
      <w:r w:rsidR="008773B8" w:rsidRPr="009971F6">
        <w:rPr>
          <w:b/>
          <w:bCs/>
        </w:rPr>
        <w:t>1</w:t>
      </w:r>
      <w:r w:rsidR="00E13BC2" w:rsidRPr="009971F6">
        <w:rPr>
          <w:b/>
          <w:bCs/>
        </w:rPr>
        <w:t xml:space="preserve"> M</w:t>
      </w:r>
      <w:r w:rsidR="00A972A9" w:rsidRPr="009971F6">
        <w:rPr>
          <w:b/>
          <w:bCs/>
        </w:rPr>
        <w:t>odelos econométricos</w:t>
      </w:r>
      <w:bookmarkEnd w:id="11"/>
    </w:p>
    <w:p w14:paraId="3CC80FA8" w14:textId="08DF6C25" w:rsidR="00E13BC2" w:rsidRPr="009971F6" w:rsidRDefault="00C61BA5" w:rsidP="00D3677A">
      <w:pPr>
        <w:pStyle w:val="TextoCorridoABNT"/>
      </w:pPr>
      <w:r w:rsidRPr="009971F6">
        <w:t xml:space="preserve">O </w:t>
      </w:r>
      <w:r w:rsidR="00E13BC2" w:rsidRPr="009971F6">
        <w:t xml:space="preserve">modelo </w:t>
      </w:r>
      <w:r w:rsidR="00824C9F" w:rsidRPr="009971F6">
        <w:t xml:space="preserve">econométrico </w:t>
      </w:r>
      <w:r w:rsidRPr="009971F6">
        <w:t>a ser empregado na análise será o</w:t>
      </w:r>
      <w:r w:rsidR="00E13BC2" w:rsidRPr="009971F6">
        <w:t xml:space="preserve"> método de dados em painel</w:t>
      </w:r>
      <w:r w:rsidR="00954BEE" w:rsidRPr="009971F6">
        <w:t xml:space="preserve"> para testar a hipótese proposta pelo estudo. Este </w:t>
      </w:r>
      <w:r w:rsidR="00C80978" w:rsidRPr="009971F6">
        <w:t xml:space="preserve">tipo de </w:t>
      </w:r>
      <w:r w:rsidR="00954BEE" w:rsidRPr="009971F6">
        <w:t>modelo permite observar dados empilhados com observações de séries temporais (anos analisados no modelo) e de seção cruzada (municípios) (GUJARATI</w:t>
      </w:r>
      <w:r w:rsidR="00BC5E47" w:rsidRPr="009971F6">
        <w:t xml:space="preserve"> e</w:t>
      </w:r>
      <w:r w:rsidR="00954BEE" w:rsidRPr="009971F6">
        <w:t xml:space="preserve"> PORTER, 2011).</w:t>
      </w:r>
      <w:r w:rsidR="0049415A" w:rsidRPr="009971F6">
        <w:t xml:space="preserve"> As vantagens na utilização de modelo</w:t>
      </w:r>
      <w:r w:rsidR="00AB32F0" w:rsidRPr="009971F6">
        <w:t>s desta ordem</w:t>
      </w:r>
      <w:r w:rsidR="0049415A" w:rsidRPr="009971F6">
        <w:t xml:space="preserve"> incluem </w:t>
      </w:r>
      <w:r w:rsidR="00AB32F0" w:rsidRPr="009971F6">
        <w:t>um</w:t>
      </w:r>
      <w:r w:rsidR="0049415A" w:rsidRPr="009971F6">
        <w:t>a maior precisão na estimativa devido a maior quantidade de observaç</w:t>
      </w:r>
      <w:r w:rsidR="00AB32F0" w:rsidRPr="009971F6">
        <w:t>ões</w:t>
      </w:r>
      <w:r w:rsidR="0049415A" w:rsidRPr="009971F6">
        <w:t xml:space="preserve"> </w:t>
      </w:r>
      <w:r w:rsidR="002E333F" w:rsidRPr="009971F6">
        <w:t>para</w:t>
      </w:r>
      <w:r w:rsidR="0049415A" w:rsidRPr="009971F6">
        <w:t xml:space="preserve"> cada indivíduo</w:t>
      </w:r>
      <w:r w:rsidR="002E333F" w:rsidRPr="009971F6">
        <w:t>, bem como</w:t>
      </w:r>
      <w:r w:rsidR="0049415A" w:rsidRPr="009971F6">
        <w:t xml:space="preserve"> a possibilidade de identificar mudanças estruturais na relação entre a variável dependente e as </w:t>
      </w:r>
      <w:r w:rsidR="002E333F" w:rsidRPr="009971F6">
        <w:t xml:space="preserve">variáveis </w:t>
      </w:r>
      <w:r w:rsidR="0049415A" w:rsidRPr="009971F6">
        <w:t xml:space="preserve">explicativas (MARQUES, 2010). </w:t>
      </w:r>
    </w:p>
    <w:p w14:paraId="5EFF6559" w14:textId="06710D8B" w:rsidR="0049415A" w:rsidRPr="009971F6" w:rsidRDefault="0049415A" w:rsidP="00D3677A">
      <w:pPr>
        <w:pStyle w:val="TextoCorridoABNT"/>
      </w:pPr>
      <w:r w:rsidRPr="009971F6">
        <w:t xml:space="preserve">A forma matricial da equação utilizada neste trabalho pode ser </w:t>
      </w:r>
      <w:r w:rsidR="002F3441" w:rsidRPr="009971F6">
        <w:t>re</w:t>
      </w:r>
      <w:r w:rsidRPr="009971F6">
        <w:t>presentada d</w:t>
      </w:r>
      <w:r w:rsidR="002F3441" w:rsidRPr="009971F6">
        <w:t>e</w:t>
      </w:r>
      <w:r w:rsidRPr="009971F6">
        <w:t xml:space="preserve"> </w:t>
      </w:r>
      <w:r w:rsidR="002F3441" w:rsidRPr="009971F6">
        <w:t>acordo com a e</w:t>
      </w:r>
      <w:r w:rsidR="005C2BA9" w:rsidRPr="009971F6">
        <w:t>xpress</w:t>
      </w:r>
      <w:r w:rsidR="00161E2E" w:rsidRPr="009971F6">
        <w:t>ão</w:t>
      </w:r>
      <w:r w:rsidR="002F3441" w:rsidRPr="009971F6">
        <w:t xml:space="preserve"> (1)</w:t>
      </w:r>
      <w:r w:rsidR="00DA4B48" w:rsidRPr="009971F6">
        <w:t xml:space="preserve"> (GUJARATI</w:t>
      </w:r>
      <w:r w:rsidR="008708BE" w:rsidRPr="009971F6">
        <w:t xml:space="preserve"> e</w:t>
      </w:r>
      <w:r w:rsidR="00DA4B48" w:rsidRPr="009971F6">
        <w:t xml:space="preserve"> PORTER, 2011).</w:t>
      </w:r>
      <w:r w:rsidR="00DA4B48" w:rsidRPr="009971F6" w:rsidDel="00DA4B48">
        <w:t xml:space="preserve"> </w:t>
      </w:r>
    </w:p>
    <w:p w14:paraId="26BB1F88" w14:textId="00A12E0B" w:rsidR="00954BEE" w:rsidRPr="009971F6" w:rsidRDefault="003A02D1" w:rsidP="00D3677A">
      <w:pPr>
        <w:pStyle w:val="TextoCorridoABNT"/>
      </w:pPr>
      <m:oMath>
        <m:sSub>
          <m:sSubPr>
            <m:ctrlPr>
              <w:rPr>
                <w:rFonts w:ascii="Cambria Math" w:hAnsi="Cambria Math"/>
              </w:rPr>
            </m:ctrlPr>
          </m:sSubPr>
          <m:e>
            <m:r>
              <w:rPr>
                <w:rFonts w:ascii="Cambria Math" w:hAnsi="Cambria Math"/>
              </w:rPr>
              <m:t>F</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x</m:t>
            </m:r>
            <m:r>
              <m:rPr>
                <m:sty m:val="p"/>
              </m:rPr>
              <w:rPr>
                <w:rFonts w:ascii="Cambria Math" w:hAnsi="Cambria Math"/>
              </w:rPr>
              <m:t>'</m:t>
            </m:r>
          </m:e>
          <m:sub>
            <m:r>
              <w:rPr>
                <w:rFonts w:ascii="Cambria Math" w:hAnsi="Cambria Math"/>
              </w:rPr>
              <m:t>it</m:t>
            </m:r>
          </m:sub>
        </m:sSub>
        <m:r>
          <w:rPr>
            <w:rFonts w:ascii="Cambria Math" w:hAnsi="Cambria Math"/>
          </w:rPr>
          <m:t>β</m:t>
        </m:r>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it</m:t>
            </m:r>
          </m:sub>
        </m:sSub>
      </m:oMath>
      <w:r w:rsidR="005D394A" w:rsidRPr="009971F6">
        <w:tab/>
      </w:r>
      <w:r w:rsidR="005D394A" w:rsidRPr="009971F6">
        <w:tab/>
      </w:r>
      <w:r w:rsidR="005D394A" w:rsidRPr="009971F6">
        <w:tab/>
      </w:r>
      <w:r w:rsidR="005D394A" w:rsidRPr="009971F6">
        <w:tab/>
      </w:r>
      <w:r w:rsidR="005D394A" w:rsidRPr="009971F6">
        <w:tab/>
      </w:r>
      <w:r w:rsidR="005D394A" w:rsidRPr="009971F6">
        <w:tab/>
      </w:r>
      <w:r w:rsidR="005D394A" w:rsidRPr="009971F6">
        <w:tab/>
      </w:r>
      <w:r w:rsidR="006D7ED5" w:rsidRPr="009971F6">
        <w:tab/>
      </w:r>
      <w:r w:rsidR="002B4BBC" w:rsidRPr="009971F6">
        <w:tab/>
      </w:r>
      <w:r w:rsidR="005D394A" w:rsidRPr="009971F6">
        <w:t>(1)</w:t>
      </w:r>
    </w:p>
    <w:p w14:paraId="7717013A" w14:textId="77777777" w:rsidR="005808C0" w:rsidRPr="009971F6" w:rsidRDefault="00BB78C3" w:rsidP="00986A1A">
      <w:pPr>
        <w:pStyle w:val="TextoCorridoABNT"/>
        <w:ind w:firstLine="0"/>
      </w:pPr>
      <w:r w:rsidRPr="009971F6">
        <w:rPr>
          <w:bCs/>
        </w:rPr>
        <w:t xml:space="preserve">Em que </w:t>
      </w:r>
      <m:oMath>
        <m:r>
          <w:rPr>
            <w:rFonts w:ascii="Cambria Math" w:hAnsi="Cambria Math"/>
          </w:rPr>
          <m:t>i</m:t>
        </m:r>
      </m:oMath>
      <w:r w:rsidR="005D394A" w:rsidRPr="009971F6">
        <w:t xml:space="preserve"> representa os munícipios da Amazônia Legal; </w:t>
      </w:r>
      <m:oMath>
        <m:r>
          <w:rPr>
            <w:rFonts w:ascii="Cambria Math" w:hAnsi="Cambria Math"/>
          </w:rPr>
          <m:t>t</m:t>
        </m:r>
      </m:oMath>
      <w:r w:rsidR="005D394A" w:rsidRPr="009971F6">
        <w:t xml:space="preserve"> representa os anos do período temporal analisado;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005D394A" w:rsidRPr="009971F6">
        <w:t xml:space="preserve"> </w:t>
      </w:r>
      <w:r w:rsidR="00C36C34" w:rsidRPr="009971F6">
        <w:t xml:space="preserve">são os efeitos particulares de cada </w:t>
      </w:r>
      <w:r w:rsidR="000B5755" w:rsidRPr="009971F6">
        <w:t>município</w:t>
      </w:r>
      <w:r w:rsidR="00C36C34" w:rsidRPr="009971F6">
        <w:t>, constante ao longo do tempo</w:t>
      </w:r>
      <w:r w:rsidR="005D394A" w:rsidRPr="009971F6">
        <w:t xml:space="preserve">; </w:t>
      </w:r>
      <m:oMath>
        <m:r>
          <w:rPr>
            <w:rFonts w:ascii="Cambria Math" w:hAnsi="Cambria Math"/>
          </w:rPr>
          <m:t>β</m:t>
        </m:r>
      </m:oMath>
      <w:r w:rsidR="005D394A" w:rsidRPr="009971F6">
        <w:t xml:space="preserve"> é o vetor linha dos parâmetros </w:t>
      </w:r>
      <w:r w:rsidR="00C36C34" w:rsidRPr="009971F6">
        <w:t>das variáveis</w:t>
      </w:r>
      <w:r w:rsidR="005D394A" w:rsidRPr="009971F6">
        <w:t xml:space="preserve">; </w:t>
      </w:r>
      <w:r w:rsidR="00C36C34" w:rsidRPr="009971F6">
        <w:t xml:space="preserve"> </w:t>
      </w:r>
      <m:oMath>
        <m:sSub>
          <m:sSubPr>
            <m:ctrlPr>
              <w:rPr>
                <w:rFonts w:ascii="Cambria Math" w:hAnsi="Cambria Math"/>
                <w:i/>
              </w:rPr>
            </m:ctrlPr>
          </m:sSubPr>
          <m:e>
            <m:r>
              <w:rPr>
                <w:rFonts w:ascii="Cambria Math" w:hAnsi="Cambria Math"/>
              </w:rPr>
              <m:t>x'</m:t>
            </m:r>
          </m:e>
          <m:sub>
            <m:r>
              <w:rPr>
                <w:rFonts w:ascii="Cambria Math" w:hAnsi="Cambria Math"/>
              </w:rPr>
              <m:t>it</m:t>
            </m:r>
          </m:sub>
        </m:sSub>
      </m:oMath>
      <w:r w:rsidR="00C36C34" w:rsidRPr="009971F6">
        <w:t xml:space="preserve"> é o vetor coluna das variáveis do município </w:t>
      </w:r>
      <m:oMath>
        <m:r>
          <w:rPr>
            <w:rFonts w:ascii="Cambria Math" w:hAnsi="Cambria Math"/>
          </w:rPr>
          <m:t>i</m:t>
        </m:r>
      </m:oMath>
      <w:r w:rsidR="00C36C34" w:rsidRPr="009971F6">
        <w:t xml:space="preserve"> no ano </w:t>
      </w:r>
      <m:oMath>
        <m:r>
          <w:rPr>
            <w:rFonts w:ascii="Cambria Math" w:hAnsi="Cambria Math"/>
          </w:rPr>
          <m:t>t</m:t>
        </m:r>
      </m:oMath>
      <w:r w:rsidR="00C36C34" w:rsidRPr="009971F6">
        <w:t xml:space="preserve">; </w:t>
      </w:r>
      <m:oMath>
        <m:sSub>
          <m:sSubPr>
            <m:ctrlPr>
              <w:rPr>
                <w:rFonts w:ascii="Cambria Math" w:hAnsi="Cambria Math"/>
                <w:i/>
              </w:rPr>
            </m:ctrlPr>
          </m:sSubPr>
          <m:e>
            <m:r>
              <w:rPr>
                <w:rFonts w:ascii="Cambria Math" w:hAnsi="Cambria Math"/>
              </w:rPr>
              <m:t>ε</m:t>
            </m:r>
          </m:e>
          <m:sub>
            <m:r>
              <w:rPr>
                <w:rFonts w:ascii="Cambria Math" w:hAnsi="Cambria Math"/>
              </w:rPr>
              <m:t>it</m:t>
            </m:r>
          </m:sub>
        </m:sSub>
      </m:oMath>
      <w:r w:rsidR="00C36C34" w:rsidRPr="009971F6">
        <w:t xml:space="preserve"> é o erro da regressão</w:t>
      </w:r>
      <w:r w:rsidR="007406A6" w:rsidRPr="009971F6">
        <w:t xml:space="preserve">; e F é o total de áreas florestais no município </w:t>
      </w:r>
      <m:oMath>
        <m:r>
          <w:rPr>
            <w:rFonts w:ascii="Cambria Math" w:hAnsi="Cambria Math"/>
          </w:rPr>
          <m:t>i</m:t>
        </m:r>
      </m:oMath>
      <w:r w:rsidR="007406A6" w:rsidRPr="009971F6">
        <w:t xml:space="preserve"> </w:t>
      </w:r>
      <w:r w:rsidR="00C27A50" w:rsidRPr="009971F6">
        <w:t xml:space="preserve">e </w:t>
      </w:r>
      <w:r w:rsidR="007406A6" w:rsidRPr="009971F6">
        <w:t xml:space="preserve">ano </w:t>
      </w:r>
      <m:oMath>
        <m:r>
          <w:rPr>
            <w:rFonts w:ascii="Cambria Math" w:hAnsi="Cambria Math"/>
          </w:rPr>
          <m:t>t</m:t>
        </m:r>
      </m:oMath>
      <w:r w:rsidR="00C36C34" w:rsidRPr="009971F6">
        <w:t>.</w:t>
      </w:r>
      <w:r w:rsidR="007406A6" w:rsidRPr="009971F6">
        <w:t xml:space="preserve">Os efeitos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007406A6" w:rsidRPr="009971F6">
        <w:t xml:space="preserve"> descrevem um conjunto de variáveis individuais e estruturais de cada município que não variam ao longo do tempo. Estes podem ser fatores climáticos, do mercado consumidor, condições ambientais, entre outros.</w:t>
      </w:r>
    </w:p>
    <w:p w14:paraId="3C73584F" w14:textId="68594D1A" w:rsidR="007406A6" w:rsidRPr="009971F6" w:rsidRDefault="005808C0" w:rsidP="005808C0">
      <w:pPr>
        <w:pStyle w:val="TextoCorridoABNT"/>
        <w:ind w:firstLine="708"/>
      </w:pPr>
      <w:r w:rsidRPr="009971F6">
        <w:t>O</w:t>
      </w:r>
      <w:r w:rsidR="007406A6" w:rsidRPr="009971F6">
        <w:t>s modelos</w:t>
      </w:r>
      <w:r w:rsidRPr="009971F6">
        <w:rPr>
          <w:rStyle w:val="Refdenotaderodap"/>
        </w:rPr>
        <w:t xml:space="preserve"> </w:t>
      </w:r>
      <w:r w:rsidRPr="009971F6">
        <w:t>econométricos a serem estimados</w:t>
      </w:r>
      <w:r w:rsidR="007406A6" w:rsidRPr="009971F6">
        <w:t xml:space="preserve"> </w:t>
      </w:r>
      <w:r w:rsidRPr="009971F6">
        <w:t xml:space="preserve">podem ser </w:t>
      </w:r>
      <w:r w:rsidR="005C2BA9" w:rsidRPr="009971F6">
        <w:t>representados pelas expressões (2) e (3)</w:t>
      </w:r>
      <w:r w:rsidRPr="009971F6">
        <w:t xml:space="preserve"> </w:t>
      </w:r>
      <w:r w:rsidR="001C752E" w:rsidRPr="009971F6">
        <w:t xml:space="preserve">e </w:t>
      </w:r>
      <w:r w:rsidRPr="009971F6">
        <w:t xml:space="preserve">são </w:t>
      </w:r>
      <w:r w:rsidR="001C752E" w:rsidRPr="009971F6">
        <w:t>baseados na proposta de</w:t>
      </w:r>
      <w:r w:rsidRPr="009971F6">
        <w:t xml:space="preserve"> Saraiva, 2017</w:t>
      </w:r>
      <w:r w:rsidR="005C2BA9" w:rsidRPr="009971F6">
        <w:t>.</w:t>
      </w:r>
    </w:p>
    <w:p w14:paraId="5E9CC2B1" w14:textId="442EF74B" w:rsidR="007406A6" w:rsidRPr="009971F6" w:rsidRDefault="003A02D1" w:rsidP="00D3677A">
      <w:pPr>
        <w:pStyle w:val="TextoCorridoABNT"/>
      </w:pPr>
      <m:oMath>
        <m:sSub>
          <m:sSubPr>
            <m:ctrlPr>
              <w:rPr>
                <w:rFonts w:ascii="Cambria Math" w:hAnsi="Cambria Math"/>
              </w:rPr>
            </m:ctrlPr>
          </m:sSubPr>
          <m:e>
            <m:r>
              <w:rPr>
                <w:rFonts w:ascii="Cambria Math" w:hAnsi="Cambria Math"/>
              </w:rPr>
              <m:t>F</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
          <m:sSubPr>
            <m:ctrlPr>
              <w:rPr>
                <w:rFonts w:ascii="Cambria Math" w:hAnsi="Cambria Math"/>
              </w:rPr>
            </m:ctrlPr>
          </m:sSubPr>
          <m:e>
            <m:r>
              <w:rPr>
                <w:rFonts w:ascii="Cambria Math" w:hAnsi="Cambria Math"/>
              </w:rPr>
              <m:t>γ</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sSub>
          <m:sSubPr>
            <m:ctrlPr>
              <w:rPr>
                <w:rFonts w:ascii="Cambria Math" w:hAnsi="Cambria Math"/>
              </w:rPr>
            </m:ctrlPr>
          </m:sSubPr>
          <m:e>
            <m:sSup>
              <m:sSupPr>
                <m:ctrlPr>
                  <w:rPr>
                    <w:rFonts w:ascii="Cambria Math" w:hAnsi="Cambria Math"/>
                  </w:rPr>
                </m:ctrlPr>
              </m:sSupPr>
              <m:e>
                <m:r>
                  <w:rPr>
                    <w:rFonts w:ascii="Cambria Math" w:hAnsi="Cambria Math"/>
                  </w:rPr>
                  <m:t>γ</m:t>
                </m:r>
              </m:e>
              <m:sup>
                <m:r>
                  <m:rPr>
                    <m:sty m:val="p"/>
                  </m:rPr>
                  <w:rPr>
                    <w:rFonts w:ascii="Cambria Math" w:hAnsi="Cambria Math"/>
                  </w:rPr>
                  <m:t>2</m:t>
                </m:r>
              </m:sup>
            </m:sSup>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sSub>
          <m:sSubPr>
            <m:ctrlPr>
              <w:rPr>
                <w:rFonts w:ascii="Cambria Math" w:hAnsi="Cambria Math"/>
              </w:rPr>
            </m:ctrlPr>
          </m:sSubPr>
          <m:e>
            <m:r>
              <w:rPr>
                <w:rFonts w:ascii="Cambria Math" w:hAnsi="Cambria Math"/>
              </w:rPr>
              <m:t>D</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4</m:t>
            </m:r>
          </m:sub>
        </m:sSub>
        <m:sSub>
          <m:sSubPr>
            <m:ctrlPr>
              <w:rPr>
                <w:rFonts w:ascii="Cambria Math" w:hAnsi="Cambria Math"/>
              </w:rPr>
            </m:ctrlPr>
          </m:sSubPr>
          <m:e>
            <m:r>
              <w:rPr>
                <w:rFonts w:ascii="Cambria Math" w:hAnsi="Cambria Math"/>
              </w:rPr>
              <m:t>M</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5</m:t>
            </m:r>
          </m:sub>
        </m:sSub>
        <m:sSub>
          <m:sSubPr>
            <m:ctrlPr>
              <w:rPr>
                <w:rFonts w:ascii="Cambria Math" w:hAnsi="Cambria Math"/>
              </w:rPr>
            </m:ctrlPr>
          </m:sSubPr>
          <m:e>
            <m:r>
              <w:rPr>
                <w:rFonts w:ascii="Cambria Math" w:hAnsi="Cambria Math"/>
              </w:rPr>
              <m:t>A</m:t>
            </m:r>
          </m:e>
          <m:sub>
            <m:r>
              <w:rPr>
                <w:rFonts w:ascii="Cambria Math" w:hAnsi="Cambria Math"/>
              </w:rPr>
              <m:t>it</m:t>
            </m:r>
          </m:sub>
        </m:sSub>
        <m: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it</m:t>
            </m:r>
          </m:sub>
        </m:sSub>
      </m:oMath>
      <w:r w:rsidR="007406A6" w:rsidRPr="009971F6">
        <w:tab/>
      </w:r>
      <w:r w:rsidR="007406A6" w:rsidRPr="009971F6">
        <w:tab/>
      </w:r>
      <w:r w:rsidR="007406A6" w:rsidRPr="009971F6">
        <w:tab/>
      </w:r>
      <w:r w:rsidR="007406A6" w:rsidRPr="009971F6">
        <w:tab/>
        <w:t>(</w:t>
      </w:r>
      <w:r w:rsidR="00464DAF" w:rsidRPr="009971F6">
        <w:t>2</w:t>
      </w:r>
      <w:r w:rsidR="007406A6" w:rsidRPr="009971F6">
        <w:t>)</w:t>
      </w:r>
    </w:p>
    <w:p w14:paraId="2275A1BF" w14:textId="26A8AE99" w:rsidR="00464DAF" w:rsidRPr="009971F6" w:rsidRDefault="003A02D1" w:rsidP="00D3677A">
      <w:pPr>
        <w:pStyle w:val="TextoCorridoABNT"/>
      </w:pPr>
      <m:oMath>
        <m:sSub>
          <m:sSubPr>
            <m:ctrlPr>
              <w:rPr>
                <w:rFonts w:ascii="Cambria Math" w:hAnsi="Cambria Math"/>
              </w:rPr>
            </m:ctrlPr>
          </m:sSubPr>
          <m:e>
            <m:r>
              <w:rPr>
                <w:rFonts w:ascii="Cambria Math" w:hAnsi="Cambria Math"/>
              </w:rPr>
              <m:t>F</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
          <m:sSubPr>
            <m:ctrlPr>
              <w:rPr>
                <w:rFonts w:ascii="Cambria Math" w:hAnsi="Cambria Math"/>
              </w:rPr>
            </m:ctrlPr>
          </m:sSubPr>
          <m:e>
            <m:r>
              <w:rPr>
                <w:rFonts w:ascii="Cambria Math" w:hAnsi="Cambria Math"/>
              </w:rPr>
              <m:t>γ</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sSub>
          <m:sSubPr>
            <m:ctrlPr>
              <w:rPr>
                <w:rFonts w:ascii="Cambria Math" w:hAnsi="Cambria Math"/>
              </w:rPr>
            </m:ctrlPr>
          </m:sSubPr>
          <m:e>
            <m:r>
              <w:rPr>
                <w:rFonts w:ascii="Cambria Math" w:hAnsi="Cambria Math"/>
              </w:rPr>
              <m:t>D</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w:rPr>
            <w:rFonts w:ascii="Cambria Math" w:hAnsi="Cambria Math"/>
          </w:rPr>
          <m:t>M+</m:t>
        </m:r>
        <m:sSub>
          <m:sSubPr>
            <m:ctrlPr>
              <w:rPr>
                <w:rFonts w:ascii="Cambria Math" w:hAnsi="Cambria Math"/>
              </w:rPr>
            </m:ctrlPr>
          </m:sSubPr>
          <m:e>
            <m:r>
              <w:rPr>
                <w:rFonts w:ascii="Cambria Math" w:hAnsi="Cambria Math"/>
              </w:rPr>
              <m:t>β</m:t>
            </m:r>
          </m:e>
          <m:sub>
            <m:r>
              <m:rPr>
                <m:sty m:val="p"/>
              </m:rPr>
              <w:rPr>
                <w:rFonts w:ascii="Cambria Math" w:hAnsi="Cambria Math"/>
              </w:rPr>
              <m:t>4</m:t>
            </m:r>
          </m:sub>
        </m:sSub>
        <m:sSub>
          <m:sSubPr>
            <m:ctrlPr>
              <w:rPr>
                <w:rFonts w:ascii="Cambria Math" w:hAnsi="Cambria Math"/>
              </w:rPr>
            </m:ctrlPr>
          </m:sSubPr>
          <m:e>
            <m:r>
              <w:rPr>
                <w:rFonts w:ascii="Cambria Math" w:hAnsi="Cambria Math"/>
              </w:rPr>
              <m:t>A</m:t>
            </m:r>
          </m:e>
          <m:sub>
            <m:r>
              <w:rPr>
                <w:rFonts w:ascii="Cambria Math" w:hAnsi="Cambria Math"/>
              </w:rPr>
              <m:t>it</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it</m:t>
            </m:r>
          </m:sub>
        </m:sSub>
      </m:oMath>
      <w:r w:rsidR="00464DAF" w:rsidRPr="009971F6">
        <w:tab/>
      </w:r>
      <w:r w:rsidR="00464DAF" w:rsidRPr="009971F6">
        <w:tab/>
      </w:r>
      <w:r w:rsidR="00464DAF" w:rsidRPr="009971F6">
        <w:tab/>
      </w:r>
      <w:r w:rsidR="00464DAF" w:rsidRPr="009971F6">
        <w:tab/>
      </w:r>
      <w:r w:rsidR="00464DAF" w:rsidRPr="009971F6">
        <w:tab/>
        <w:t>(3)</w:t>
      </w:r>
    </w:p>
    <w:p w14:paraId="6EAC3FBF" w14:textId="03199751" w:rsidR="00921B7B" w:rsidRPr="009971F6" w:rsidRDefault="00161E2E" w:rsidP="005808C0">
      <w:pPr>
        <w:pStyle w:val="TextoCorridoABNT"/>
        <w:ind w:firstLine="0"/>
      </w:pPr>
      <w:r w:rsidRPr="009971F6">
        <w:t>Na qual</w:t>
      </w:r>
      <w:r w:rsidR="007406A6" w:rsidRPr="009971F6">
        <w:t xml:space="preserve"> </w:t>
      </w:r>
      <m:oMath>
        <m:sSub>
          <m:sSubPr>
            <m:ctrlPr>
              <w:rPr>
                <w:rFonts w:ascii="Cambria Math" w:hAnsi="Cambria Math"/>
                <w:i/>
              </w:rPr>
            </m:ctrlPr>
          </m:sSubPr>
          <m:e>
            <m:r>
              <w:rPr>
                <w:rFonts w:ascii="Cambria Math" w:hAnsi="Cambria Math"/>
              </w:rPr>
              <m:t>γ</m:t>
            </m:r>
          </m:e>
          <m:sub>
            <m:r>
              <w:rPr>
                <w:rFonts w:ascii="Cambria Math" w:hAnsi="Cambria Math"/>
              </w:rPr>
              <m:t>it</m:t>
            </m:r>
          </m:sub>
        </m:sSub>
      </m:oMath>
      <w:r w:rsidR="007406A6" w:rsidRPr="009971F6">
        <w:t xml:space="preserve"> </w:t>
      </w:r>
      <w:r w:rsidR="00C27A50" w:rsidRPr="009971F6">
        <w:t xml:space="preserve">corresponde ao PIB </w:t>
      </w:r>
      <w:r w:rsidR="00C27A50" w:rsidRPr="009971F6">
        <w:rPr>
          <w:i/>
          <w:iCs/>
        </w:rPr>
        <w:t>per capita</w:t>
      </w:r>
      <w:r w:rsidR="00C27A50" w:rsidRPr="009971F6">
        <w:t xml:space="preserve"> no município </w:t>
      </w:r>
      <m:oMath>
        <m:r>
          <w:rPr>
            <w:rFonts w:ascii="Cambria Math" w:hAnsi="Cambria Math"/>
          </w:rPr>
          <m:t>i</m:t>
        </m:r>
      </m:oMath>
      <w:r w:rsidR="00C27A50" w:rsidRPr="009971F6">
        <w:t xml:space="preserve"> e ano </w:t>
      </w:r>
      <m:oMath>
        <m:r>
          <w:rPr>
            <w:rFonts w:ascii="Cambria Math" w:hAnsi="Cambria Math"/>
          </w:rPr>
          <m:t>t</m:t>
        </m:r>
      </m:oMath>
      <w:r w:rsidR="00C27A50" w:rsidRPr="009971F6">
        <w:t xml:space="preserve">; </w:t>
      </w:r>
      <m:oMath>
        <m:sSub>
          <m:sSubPr>
            <m:ctrlPr>
              <w:rPr>
                <w:rFonts w:ascii="Cambria Math" w:hAnsi="Cambria Math"/>
                <w:i/>
              </w:rPr>
            </m:ctrlPr>
          </m:sSubPr>
          <m:e>
            <m:r>
              <w:rPr>
                <w:rFonts w:ascii="Cambria Math" w:hAnsi="Cambria Math"/>
              </w:rPr>
              <m:t>D</m:t>
            </m:r>
          </m:e>
          <m:sub>
            <m:r>
              <w:rPr>
                <w:rFonts w:ascii="Cambria Math" w:hAnsi="Cambria Math"/>
              </w:rPr>
              <m:t>it</m:t>
            </m:r>
          </m:sub>
        </m:sSub>
      </m:oMath>
      <w:r w:rsidR="00C27A50" w:rsidRPr="009971F6">
        <w:t xml:space="preserve"> é a densidade demográfica no município </w:t>
      </w:r>
      <m:oMath>
        <m:r>
          <w:rPr>
            <w:rFonts w:ascii="Cambria Math" w:hAnsi="Cambria Math"/>
          </w:rPr>
          <m:t>i</m:t>
        </m:r>
      </m:oMath>
      <w:r w:rsidR="00C27A50" w:rsidRPr="009971F6">
        <w:t xml:space="preserve"> e ano </w:t>
      </w:r>
      <m:oMath>
        <m:r>
          <w:rPr>
            <w:rFonts w:ascii="Cambria Math" w:hAnsi="Cambria Math"/>
          </w:rPr>
          <m:t>t</m:t>
        </m:r>
      </m:oMath>
      <w:r w:rsidR="00C27A50" w:rsidRPr="009971F6">
        <w:t xml:space="preserve">; e </w:t>
      </w:r>
      <m:oMath>
        <m:r>
          <w:rPr>
            <w:rFonts w:ascii="Cambria Math" w:hAnsi="Cambria Math"/>
          </w:rPr>
          <m:t>M</m:t>
        </m:r>
      </m:oMath>
      <w:r w:rsidR="00C27A50" w:rsidRPr="009971F6">
        <w:t xml:space="preserve"> é o valor da multa por área desmatada</w:t>
      </w:r>
      <w:r w:rsidR="003A48F8" w:rsidRPr="009971F6">
        <w:t xml:space="preserve"> no município </w:t>
      </w:r>
      <m:oMath>
        <m:r>
          <w:rPr>
            <w:rFonts w:ascii="Cambria Math" w:hAnsi="Cambria Math"/>
          </w:rPr>
          <m:t>i</m:t>
        </m:r>
      </m:oMath>
      <w:r w:rsidR="00BA27F0" w:rsidRPr="009971F6">
        <w:t xml:space="preserve"> no ano </w:t>
      </w:r>
      <m:oMath>
        <m:r>
          <w:rPr>
            <w:rFonts w:ascii="Cambria Math" w:hAnsi="Cambria Math"/>
          </w:rPr>
          <m:t>t</m:t>
        </m:r>
      </m:oMath>
      <w:r w:rsidR="00C27A50" w:rsidRPr="009971F6">
        <w:t>.</w:t>
      </w:r>
      <w:r w:rsidR="00921B7B" w:rsidRPr="009971F6">
        <w:t xml:space="preserve"> Nesse caso, para se encontrar a curva convexa semelhante a TTF, deve-se obter na equação (</w:t>
      </w:r>
      <w:r w:rsidR="00464DAF" w:rsidRPr="009971F6">
        <w:t>2</w:t>
      </w:r>
      <w:r w:rsidR="00921B7B" w:rsidRPr="009971F6">
        <w:t xml:space="preserve">)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921B7B" w:rsidRPr="009971F6">
        <w:t xml:space="preserve">&lt; 0 e </w:t>
      </w:r>
      <m:oMath>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&gt;0</m:t>
        </m:r>
      </m:oMath>
      <w:r w:rsidR="00464DAF" w:rsidRPr="009971F6">
        <w:t>, indicando assim</w:t>
      </w:r>
      <w:r w:rsidR="00DA4B48" w:rsidRPr="009971F6">
        <w:t xml:space="preserve"> retornos decrescentes para a variável no início que, após um ponto ótimo, tornam-se crescentes.</w:t>
      </w:r>
    </w:p>
    <w:p w14:paraId="7BDCA3FE" w14:textId="747EB5A3" w:rsidR="00D45CFB" w:rsidRPr="009971F6" w:rsidRDefault="00D45CFB" w:rsidP="00D3677A">
      <w:pPr>
        <w:pStyle w:val="TextoCorridoABNT"/>
      </w:pPr>
      <w:r w:rsidRPr="009971F6">
        <w:t>No modelo de efeitos fixos, o intercepto (</w:t>
      </w: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oMath>
      <w:r w:rsidRPr="009971F6">
        <w:t xml:space="preserve"> varia para cada munícipio</w:t>
      </w:r>
      <w:r w:rsidR="00214B2B" w:rsidRPr="009971F6">
        <w:t>, mas</w:t>
      </w:r>
      <w:r w:rsidRPr="009971F6">
        <w:t xml:space="preserve"> permanece constante ao longo do tempo</w:t>
      </w:r>
      <w:r w:rsidR="00214B2B" w:rsidRPr="009971F6">
        <w:t>.</w:t>
      </w:r>
      <w:r w:rsidRPr="009971F6">
        <w:t xml:space="preserve"> </w:t>
      </w:r>
      <w:r w:rsidR="00214B2B" w:rsidRPr="009971F6">
        <w:t>P</w:t>
      </w:r>
      <w:r w:rsidRPr="009971F6">
        <w:t xml:space="preserve">ara </w:t>
      </w:r>
      <w:r w:rsidR="00214B2B" w:rsidRPr="009971F6">
        <w:t>tanto,</w:t>
      </w:r>
      <w:r w:rsidRPr="009971F6">
        <w:t xml:space="preserve"> pressupõe-se que ele seja correlacionado com as </w:t>
      </w:r>
      <w:r w:rsidRPr="009971F6">
        <w:lastRenderedPageBreak/>
        <w:t xml:space="preserve">variáveis explicativas. </w:t>
      </w:r>
      <w:r w:rsidR="00214B2B" w:rsidRPr="009971F6">
        <w:t>No</w:t>
      </w:r>
      <w:r w:rsidRPr="009971F6">
        <w:t xml:space="preserve"> modelo de efeitos aleatórios pressupõe</w:t>
      </w:r>
      <w:r w:rsidR="00214B2B" w:rsidRPr="009971F6">
        <w:t>-se</w:t>
      </w:r>
      <w:r w:rsidRPr="009971F6">
        <w:t xml:space="preserve"> que a heterogeneidade de cada município (</w:t>
      </w: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m:t>
        </m:r>
      </m:oMath>
      <w:r w:rsidRPr="009971F6">
        <w:t xml:space="preserve"> não </w:t>
      </w:r>
      <w:r w:rsidR="00214B2B" w:rsidRPr="009971F6">
        <w:t>s</w:t>
      </w:r>
      <w:r w:rsidRPr="009971F6">
        <w:t>eja correlacionada com as variáveis explicativas, assumindo</w:t>
      </w:r>
      <w:r w:rsidR="00E45A5D" w:rsidRPr="009971F6">
        <w:t>-se, portanto,</w:t>
      </w:r>
      <w:r w:rsidRPr="009971F6">
        <w:t xml:space="preserve"> que ela </w:t>
      </w:r>
      <w:r w:rsidR="00E45A5D" w:rsidRPr="009971F6">
        <w:t>s</w:t>
      </w:r>
      <w:r w:rsidRPr="009971F6">
        <w:t>eja distribuída aleatoriamente entre os municípios (GUJARATI</w:t>
      </w:r>
      <w:r w:rsidR="00000A9B" w:rsidRPr="009971F6">
        <w:t xml:space="preserve"> e</w:t>
      </w:r>
      <w:r w:rsidRPr="009971F6">
        <w:t xml:space="preserve"> PORTER, 2011).</w:t>
      </w:r>
    </w:p>
    <w:p w14:paraId="0D51614D" w14:textId="34F44554" w:rsidR="00D45CFB" w:rsidRPr="009971F6" w:rsidRDefault="00F054FE" w:rsidP="00D3677A">
      <w:pPr>
        <w:pStyle w:val="TextoCorridoABNT"/>
      </w:pPr>
      <w:r w:rsidRPr="009971F6">
        <w:t xml:space="preserve">O teste de Hausman </w:t>
      </w:r>
      <w:r w:rsidR="00ED2FB5" w:rsidRPr="009971F6">
        <w:t>(19</w:t>
      </w:r>
      <w:r w:rsidR="0064159D" w:rsidRPr="009971F6">
        <w:t xml:space="preserve">78) </w:t>
      </w:r>
      <w:r w:rsidRPr="009971F6">
        <w:t xml:space="preserve">permite </w:t>
      </w:r>
      <w:r w:rsidR="00E45A5D" w:rsidRPr="009971F6">
        <w:t xml:space="preserve">definir qual a melhor opção na comparação </w:t>
      </w:r>
      <w:r w:rsidRPr="009971F6">
        <w:t xml:space="preserve">entre o modelo de efeitos fixos e o modelo de efeitos aleatórios. A rejeição da hipótese nula no teste indica que os interceptos estão provavelmente correlacionados com um ou mais regressores, </w:t>
      </w:r>
      <w:r w:rsidR="00BD59FB" w:rsidRPr="009971F6">
        <w:t>demonstrando</w:t>
      </w:r>
      <w:r w:rsidRPr="009971F6">
        <w:t xml:space="preserve"> que o modelo de efeitos fixos é preferível </w:t>
      </w:r>
      <w:r w:rsidR="00516AEA" w:rsidRPr="009971F6">
        <w:t>(GUJARATI</w:t>
      </w:r>
      <w:r w:rsidR="008708BE" w:rsidRPr="009971F6">
        <w:t xml:space="preserve"> e</w:t>
      </w:r>
      <w:r w:rsidR="00516AEA" w:rsidRPr="009971F6">
        <w:t xml:space="preserve"> PORTER, 2011).</w:t>
      </w:r>
    </w:p>
    <w:p w14:paraId="07CEDA99" w14:textId="07FD6A02" w:rsidR="007406A6" w:rsidRPr="009971F6" w:rsidRDefault="00BD59FB" w:rsidP="00D3677A">
      <w:pPr>
        <w:pStyle w:val="TextoCorridoABNT"/>
      </w:pPr>
      <w:r w:rsidRPr="009971F6">
        <w:t>O teste de Breusch-Pagan</w:t>
      </w:r>
      <w:r w:rsidR="0064159D" w:rsidRPr="009971F6">
        <w:t xml:space="preserve"> (</w:t>
      </w:r>
      <w:r w:rsidR="00882B69" w:rsidRPr="009971F6">
        <w:t>Breusc</w:t>
      </w:r>
      <w:r w:rsidR="00005C1F" w:rsidRPr="009971F6">
        <w:t xml:space="preserve">h e Pagan, </w:t>
      </w:r>
      <w:r w:rsidR="0064159D" w:rsidRPr="009971F6">
        <w:t>1979)</w:t>
      </w:r>
      <w:r w:rsidRPr="009971F6">
        <w:t xml:space="preserve"> indica se é preferível utilizar o modelo de regressão com dados empilhados (</w:t>
      </w:r>
      <w:r w:rsidR="00005C1F" w:rsidRPr="009971F6">
        <w:t>p</w:t>
      </w:r>
      <w:r w:rsidRPr="009971F6">
        <w:rPr>
          <w:i/>
          <w:iCs/>
        </w:rPr>
        <w:t>ooled</w:t>
      </w:r>
      <w:r w:rsidRPr="009971F6">
        <w:t xml:space="preserve">) em detrimento do modelo </w:t>
      </w:r>
      <w:r w:rsidR="00B45000" w:rsidRPr="009971F6">
        <w:t>d</w:t>
      </w:r>
      <w:r w:rsidRPr="009971F6">
        <w:t>e efeitos aleatórios. A rejeição da hipótese nula do teste indica que é preferível utilizar o modelo</w:t>
      </w:r>
      <w:r w:rsidR="00B45000" w:rsidRPr="009971F6">
        <w:t xml:space="preserve"> de efeitos </w:t>
      </w:r>
      <w:r w:rsidRPr="009971F6">
        <w:t>aleatório</w:t>
      </w:r>
      <w:r w:rsidR="00B45000" w:rsidRPr="009971F6">
        <w:t>s</w:t>
      </w:r>
      <w:r w:rsidR="00516AEA" w:rsidRPr="009971F6">
        <w:t xml:space="preserve"> (GUJARATI</w:t>
      </w:r>
      <w:r w:rsidR="00000A9B" w:rsidRPr="009971F6">
        <w:t xml:space="preserve"> e </w:t>
      </w:r>
      <w:r w:rsidR="00516AEA" w:rsidRPr="009971F6">
        <w:t>PORTER, 2011).</w:t>
      </w:r>
    </w:p>
    <w:p w14:paraId="6523E3C9" w14:textId="1C9F82F9" w:rsidR="00DA4B48" w:rsidRPr="009971F6" w:rsidRDefault="00DA4B48" w:rsidP="00D3677A">
      <w:pPr>
        <w:pStyle w:val="TextoCorridoABNT"/>
      </w:pPr>
      <w:r w:rsidRPr="009971F6">
        <w:t>O teste de Chow (1960) compara se há igualdade nas inclinações e nos interceptos para todos os modelos, caracterizando o modelo de dados empilhados (</w:t>
      </w:r>
      <w:r w:rsidRPr="009971F6">
        <w:rPr>
          <w:i/>
          <w:iCs/>
        </w:rPr>
        <w:t>pooled</w:t>
      </w:r>
      <w:r w:rsidRPr="009971F6">
        <w:t>). A rejeição da hipótese nula do teste indica a preferência pelo modelo de efeitos fixos em detrimento do modelo de dados empilhados (GUJARATI</w:t>
      </w:r>
      <w:r w:rsidR="00000A9B" w:rsidRPr="009971F6">
        <w:t xml:space="preserve"> e</w:t>
      </w:r>
      <w:r w:rsidRPr="009971F6">
        <w:t xml:space="preserve"> PORTER, 2011).</w:t>
      </w:r>
    </w:p>
    <w:p w14:paraId="4742C1AE" w14:textId="77777777" w:rsidR="00AA1043" w:rsidRPr="009971F6" w:rsidRDefault="00AA1043" w:rsidP="00D3677A">
      <w:pPr>
        <w:pStyle w:val="TextoCorridoABNT"/>
      </w:pPr>
    </w:p>
    <w:p w14:paraId="71AF8215" w14:textId="3C6051FE" w:rsidR="00A13E82" w:rsidRPr="009971F6" w:rsidRDefault="00AA1043" w:rsidP="00AA1043">
      <w:pPr>
        <w:pStyle w:val="Ttulo2"/>
        <w:spacing w:before="0" w:after="0"/>
        <w:ind w:firstLine="0"/>
        <w:rPr>
          <w:b/>
          <w:bCs/>
        </w:rPr>
      </w:pPr>
      <w:bookmarkStart w:id="12" w:name="_Toc130219026"/>
      <w:r w:rsidRPr="009971F6">
        <w:rPr>
          <w:b/>
          <w:bCs/>
        </w:rPr>
        <w:t>3</w:t>
      </w:r>
      <w:r w:rsidR="00A13E82" w:rsidRPr="009971F6">
        <w:rPr>
          <w:b/>
          <w:bCs/>
        </w:rPr>
        <w:t>.</w:t>
      </w:r>
      <w:r w:rsidR="00842153" w:rsidRPr="009971F6">
        <w:rPr>
          <w:b/>
          <w:bCs/>
        </w:rPr>
        <w:t>2</w:t>
      </w:r>
      <w:r w:rsidRPr="009971F6">
        <w:rPr>
          <w:b/>
          <w:bCs/>
        </w:rPr>
        <w:t xml:space="preserve"> </w:t>
      </w:r>
      <w:bookmarkEnd w:id="12"/>
      <w:r w:rsidRPr="009971F6">
        <w:rPr>
          <w:b/>
          <w:bCs/>
        </w:rPr>
        <w:t>Abordagem empírica</w:t>
      </w:r>
    </w:p>
    <w:p w14:paraId="37106ADB" w14:textId="2D5694D9" w:rsidR="00AB6490" w:rsidRPr="009971F6" w:rsidRDefault="00AB6490" w:rsidP="00D3677A">
      <w:pPr>
        <w:pStyle w:val="TextoCorridoABNT"/>
      </w:pPr>
      <w:r w:rsidRPr="009971F6">
        <w:t xml:space="preserve">O modelo empírico </w:t>
      </w:r>
      <w:r w:rsidR="00A31B84" w:rsidRPr="009971F6">
        <w:t>d</w:t>
      </w:r>
      <w:r w:rsidRPr="009971F6">
        <w:t xml:space="preserve">o trabalho foi estruturado com a utilização da proporção de floresta em relação a área municipal como variável dependente. A variável </w:t>
      </w:r>
      <w:r w:rsidR="00E54533" w:rsidRPr="009971F6">
        <w:t>servir</w:t>
      </w:r>
      <w:r w:rsidRPr="009971F6">
        <w:t xml:space="preserve">á </w:t>
      </w:r>
      <w:r w:rsidR="00E54533" w:rsidRPr="009971F6">
        <w:t xml:space="preserve">para </w:t>
      </w:r>
      <w:r w:rsidRPr="009971F6">
        <w:t>indicar a evolução da cobertura florestal ao longo dos anos</w:t>
      </w:r>
      <w:r w:rsidR="00A31B84" w:rsidRPr="009971F6">
        <w:t xml:space="preserve"> em análise</w:t>
      </w:r>
      <w:r w:rsidR="004E6847" w:rsidRPr="009971F6">
        <w:t>.</w:t>
      </w:r>
      <w:r w:rsidR="00B345A7" w:rsidRPr="009971F6">
        <w:t xml:space="preserve"> Utilizou-se dados </w:t>
      </w:r>
      <w:r w:rsidR="00777D97" w:rsidRPr="009971F6">
        <w:t xml:space="preserve">para </w:t>
      </w:r>
      <w:r w:rsidR="00B345A7" w:rsidRPr="009971F6">
        <w:t xml:space="preserve">o período </w:t>
      </w:r>
      <w:r w:rsidR="00777D97" w:rsidRPr="009971F6">
        <w:t>compreendido entre</w:t>
      </w:r>
      <w:r w:rsidR="00B345A7" w:rsidRPr="009971F6">
        <w:t xml:space="preserve"> 2005 </w:t>
      </w:r>
      <w:r w:rsidR="00777D97" w:rsidRPr="009971F6">
        <w:t>e</w:t>
      </w:r>
      <w:r w:rsidR="00B345A7" w:rsidRPr="009971F6">
        <w:t xml:space="preserve"> 2020.</w:t>
      </w:r>
    </w:p>
    <w:p w14:paraId="008210BB" w14:textId="1435AF44" w:rsidR="00A13E82" w:rsidRPr="009971F6" w:rsidRDefault="00AB6490" w:rsidP="00D3677A">
      <w:pPr>
        <w:pStyle w:val="TextoCorridoABNT"/>
      </w:pPr>
      <w:r w:rsidRPr="009971F6">
        <w:t xml:space="preserve">A teoria da transição </w:t>
      </w:r>
      <w:r w:rsidR="00516AEA" w:rsidRPr="009971F6">
        <w:t>florestal propõe</w:t>
      </w:r>
      <w:r w:rsidRPr="009971F6">
        <w:t xml:space="preserve"> </w:t>
      </w:r>
      <w:r w:rsidR="005D7287" w:rsidRPr="009971F6">
        <w:t xml:space="preserve">que </w:t>
      </w:r>
      <w:r w:rsidRPr="009971F6">
        <w:t xml:space="preserve">a mudança </w:t>
      </w:r>
      <w:r w:rsidR="005D7287" w:rsidRPr="009971F6">
        <w:t>n</w:t>
      </w:r>
      <w:r w:rsidRPr="009971F6">
        <w:t xml:space="preserve">a cobertura florestal </w:t>
      </w:r>
      <w:r w:rsidR="005D7287" w:rsidRPr="009971F6">
        <w:t xml:space="preserve">varia </w:t>
      </w:r>
      <w:r w:rsidRPr="009971F6">
        <w:t xml:space="preserve">de acordo com o desenvolvimento econômico e com o valor relativo do uso da terra </w:t>
      </w:r>
      <w:r w:rsidR="004E6847" w:rsidRPr="009971F6">
        <w:t>entre</w:t>
      </w:r>
      <w:r w:rsidRPr="009971F6">
        <w:t xml:space="preserve"> floresta </w:t>
      </w:r>
      <w:r w:rsidR="004E6847" w:rsidRPr="009971F6">
        <w:t>e atividades agr</w:t>
      </w:r>
      <w:r w:rsidR="005D7287" w:rsidRPr="009971F6">
        <w:t>opecuária</w:t>
      </w:r>
      <w:r w:rsidR="004E6847" w:rsidRPr="009971F6">
        <w:t xml:space="preserve">s. </w:t>
      </w:r>
      <w:r w:rsidR="00DE64F8" w:rsidRPr="009971F6">
        <w:t xml:space="preserve">As mudanças de longo prazo que ocorrem nas florestas do país são advindas do valor de preservação das florestas em relação ao valor </w:t>
      </w:r>
      <w:r w:rsidR="00AE79EE" w:rsidRPr="009971F6">
        <w:t>da sua alocação para atividades agropecuárias</w:t>
      </w:r>
      <w:r w:rsidR="00DE64F8" w:rsidRPr="009971F6">
        <w:t>. O desenvolvimento da sociedade pode causar diferentes impactos no preço dos produtos florestais dependendo d</w:t>
      </w:r>
      <w:r w:rsidR="002C22C9" w:rsidRPr="009971F6">
        <w:t>e seu</w:t>
      </w:r>
      <w:r w:rsidR="00DE64F8" w:rsidRPr="009971F6">
        <w:t xml:space="preserve"> </w:t>
      </w:r>
      <w:r w:rsidR="002C22C9" w:rsidRPr="009971F6">
        <w:t>estágio</w:t>
      </w:r>
      <w:r w:rsidR="00DE64F8" w:rsidRPr="009971F6">
        <w:t>. No início do desenvolvimento</w:t>
      </w:r>
      <w:r w:rsidR="002C22C9" w:rsidRPr="009971F6">
        <w:t xml:space="preserve"> econômico de uma nação</w:t>
      </w:r>
      <w:r w:rsidR="00DE64F8" w:rsidRPr="009971F6">
        <w:t xml:space="preserve">, o aumento da demanda por comida gera </w:t>
      </w:r>
      <w:r w:rsidR="00A2497F" w:rsidRPr="009971F6">
        <w:t>aumento do</w:t>
      </w:r>
      <w:r w:rsidR="00DE64F8" w:rsidRPr="009971F6">
        <w:t xml:space="preserve"> valor </w:t>
      </w:r>
      <w:r w:rsidR="00E4748C" w:rsidRPr="009971F6">
        <w:t>para</w:t>
      </w:r>
      <w:r w:rsidR="00035BE1" w:rsidRPr="009971F6">
        <w:t xml:space="preserve"> alocação do</w:t>
      </w:r>
      <w:r w:rsidR="00DE64F8" w:rsidRPr="009971F6">
        <w:t xml:space="preserve"> solo</w:t>
      </w:r>
      <w:r w:rsidR="00035BE1" w:rsidRPr="009971F6">
        <w:t xml:space="preserve"> para produção</w:t>
      </w:r>
      <w:r w:rsidR="00DE64F8" w:rsidRPr="009971F6">
        <w:t xml:space="preserve"> </w:t>
      </w:r>
      <w:r w:rsidR="0064530D" w:rsidRPr="009971F6">
        <w:t>agropecuária</w:t>
      </w:r>
      <w:r w:rsidR="00DE64F8" w:rsidRPr="009971F6">
        <w:t>,</w:t>
      </w:r>
      <w:r w:rsidR="002C22C9" w:rsidRPr="009971F6">
        <w:t xml:space="preserve"> </w:t>
      </w:r>
      <w:r w:rsidR="00DE64F8" w:rsidRPr="009971F6">
        <w:t xml:space="preserve">em </w:t>
      </w:r>
      <w:r w:rsidR="00A2497F" w:rsidRPr="009971F6">
        <w:t>detrimento da sua alocação para conservação florestal</w:t>
      </w:r>
      <w:r w:rsidR="00DE64F8" w:rsidRPr="009971F6">
        <w:t xml:space="preserve">. Todavia, </w:t>
      </w:r>
      <w:r w:rsidR="002C22C9" w:rsidRPr="009971F6">
        <w:t xml:space="preserve">a escassez de produtos florestais e a excessiva conversão agrícola podem fazer com que </w:t>
      </w:r>
      <w:r w:rsidR="00516AEA" w:rsidRPr="009971F6">
        <w:t>o valor d</w:t>
      </w:r>
      <w:r w:rsidR="00B17C36" w:rsidRPr="009971F6">
        <w:t>e uso para</w:t>
      </w:r>
      <w:r w:rsidR="00516AEA" w:rsidRPr="009971F6">
        <w:t xml:space="preserve"> </w:t>
      </w:r>
      <w:r w:rsidR="00B17C36" w:rsidRPr="009971F6">
        <w:t>conservação florestal</w:t>
      </w:r>
      <w:r w:rsidR="00516AEA" w:rsidRPr="009971F6">
        <w:t xml:space="preserve"> ultrapasse</w:t>
      </w:r>
      <w:r w:rsidR="002C22C9" w:rsidRPr="009971F6">
        <w:t xml:space="preserve"> o valor da terra a</w:t>
      </w:r>
      <w:r w:rsidR="00B17C36" w:rsidRPr="009971F6">
        <w:t>locada para agropecuária</w:t>
      </w:r>
      <w:r w:rsidR="002C22C9" w:rsidRPr="009971F6">
        <w:t xml:space="preserve"> (BARBIER </w:t>
      </w:r>
      <w:r w:rsidR="002C22C9" w:rsidRPr="009971F6">
        <w:rPr>
          <w:i/>
          <w:iCs/>
        </w:rPr>
        <w:t>et al</w:t>
      </w:r>
      <w:r w:rsidR="00000A9B" w:rsidRPr="009971F6">
        <w:rPr>
          <w:i/>
          <w:iCs/>
        </w:rPr>
        <w:t>.</w:t>
      </w:r>
      <w:r w:rsidR="002C22C9" w:rsidRPr="009971F6">
        <w:t>, 2010).</w:t>
      </w:r>
    </w:p>
    <w:p w14:paraId="69B374BF" w14:textId="4522FFC3" w:rsidR="00C36C34" w:rsidRPr="009971F6" w:rsidRDefault="002C22C9" w:rsidP="000E2AE2">
      <w:pPr>
        <w:pStyle w:val="TextoCorridoABNT"/>
      </w:pPr>
      <w:r w:rsidRPr="009971F6">
        <w:lastRenderedPageBreak/>
        <w:t xml:space="preserve">Para o modelo empírico </w:t>
      </w:r>
      <w:r w:rsidR="004A2598" w:rsidRPr="009971F6">
        <w:t>selecionou-se</w:t>
      </w:r>
      <w:r w:rsidRPr="009971F6">
        <w:t xml:space="preserve"> variáveis explicativas relacionadas a fatores socioeconômicos, demográficos e de políticas públicas. As variáveis </w:t>
      </w:r>
      <w:r w:rsidR="004A2598" w:rsidRPr="009971F6">
        <w:t>empregadas são</w:t>
      </w:r>
      <w:r w:rsidRPr="009971F6">
        <w:t xml:space="preserve">: PIB </w:t>
      </w:r>
      <w:r w:rsidRPr="009971F6">
        <w:rPr>
          <w:i/>
          <w:iCs/>
        </w:rPr>
        <w:t>per capita</w:t>
      </w:r>
      <w:r w:rsidRPr="009971F6">
        <w:t>, valor adicionado agropecuário (proporção), população e valor médio de multas ambientais.</w:t>
      </w:r>
      <w:r w:rsidR="000E2AE2" w:rsidRPr="009971F6">
        <w:t xml:space="preserve"> </w:t>
      </w:r>
      <w:r w:rsidRPr="009971F6">
        <w:t>Como fatores socioeconômicos, o PIB</w:t>
      </w:r>
      <w:r w:rsidRPr="009971F6">
        <w:rPr>
          <w:b/>
          <w:bCs/>
        </w:rPr>
        <w:t xml:space="preserve"> </w:t>
      </w:r>
      <w:r w:rsidRPr="009971F6">
        <w:rPr>
          <w:i/>
          <w:iCs/>
        </w:rPr>
        <w:t>per capita</w:t>
      </w:r>
      <w:r w:rsidRPr="009971F6">
        <w:rPr>
          <w:b/>
          <w:bCs/>
          <w:i/>
          <w:iCs/>
        </w:rPr>
        <w:t xml:space="preserve"> </w:t>
      </w:r>
      <w:r w:rsidRPr="009971F6">
        <w:t>busca entender como o desenvolvimento econômico geral da região impacta na cobertura florestal, enquanto a proporção do valor adicionado agropecuário em relação ao valor adicionado total busca apontar os efeitos do setor agrícola em específico sobre as florestas.</w:t>
      </w:r>
      <w:r w:rsidR="000E2AE2" w:rsidRPr="009971F6">
        <w:t xml:space="preserve"> </w:t>
      </w:r>
      <w:r w:rsidRPr="009971F6">
        <w:t>O fator demográfico, representado pela população, busca explorar os impactos da densidade demográfica sobre as florestas.</w:t>
      </w:r>
      <w:r w:rsidR="00411C8D" w:rsidRPr="009971F6">
        <w:t xml:space="preserve"> </w:t>
      </w:r>
      <w:r w:rsidRPr="009971F6">
        <w:t xml:space="preserve">Por fim, o valor médio de multas ambientais busca analisar a eficiência desta política pública </w:t>
      </w:r>
      <w:r w:rsidR="000E2AE2" w:rsidRPr="009971F6">
        <w:t xml:space="preserve">de controle </w:t>
      </w:r>
      <w:r w:rsidRPr="009971F6">
        <w:t>na preservação e recuperação ambiental das florestas.</w:t>
      </w:r>
    </w:p>
    <w:p w14:paraId="65A55512" w14:textId="04F637C1" w:rsidR="00056678" w:rsidRPr="009971F6" w:rsidRDefault="00056678" w:rsidP="00D3677A">
      <w:pPr>
        <w:pStyle w:val="TextoCorridoABNT"/>
      </w:pPr>
      <w:r w:rsidRPr="009971F6">
        <w:t xml:space="preserve">De modo semelhante </w:t>
      </w:r>
      <w:r w:rsidR="007D54E8" w:rsidRPr="009971F6">
        <w:t>à</w:t>
      </w:r>
      <w:r w:rsidRPr="009971F6">
        <w:t xml:space="preserve"> curva ambiental de Kuznets, a TTF apresenta</w:t>
      </w:r>
      <w:r w:rsidR="00B121D8" w:rsidRPr="009971F6">
        <w:t xml:space="preserve"> um</w:t>
      </w:r>
      <w:r w:rsidRPr="009971F6">
        <w:t xml:space="preserve"> ponto </w:t>
      </w:r>
      <w:r w:rsidR="007D54E8" w:rsidRPr="009971F6">
        <w:t>de inflexão</w:t>
      </w:r>
      <w:r w:rsidR="00B121D8" w:rsidRPr="009971F6">
        <w:t xml:space="preserve">, </w:t>
      </w:r>
      <w:r w:rsidR="00491111" w:rsidRPr="009971F6">
        <w:t xml:space="preserve">que ocorre </w:t>
      </w:r>
      <w:r w:rsidR="00B121D8" w:rsidRPr="009971F6">
        <w:t xml:space="preserve">quando </w:t>
      </w:r>
      <w:r w:rsidRPr="009971F6">
        <w:t xml:space="preserve">o </w:t>
      </w:r>
      <w:r w:rsidR="00C47D41" w:rsidRPr="009971F6">
        <w:t xml:space="preserve">processo de </w:t>
      </w:r>
      <w:r w:rsidRPr="009971F6">
        <w:t>desenvolvimento econômico</w:t>
      </w:r>
      <w:r w:rsidR="00C47D41" w:rsidRPr="009971F6">
        <w:t xml:space="preserve"> passa a gerar aumentos na área líquida de florestas</w:t>
      </w:r>
      <w:r w:rsidRPr="009971F6">
        <w:t xml:space="preserve">. Assim, a curva pode ser semelhante a um “U”, com um ponto </w:t>
      </w:r>
      <w:r w:rsidR="00491111" w:rsidRPr="009971F6">
        <w:t>de inflexão</w:t>
      </w:r>
      <w:r w:rsidRPr="009971F6">
        <w:t xml:space="preserve"> no qual o desenvolvimento passa a </w:t>
      </w:r>
      <w:r w:rsidR="00491111" w:rsidRPr="009971F6">
        <w:t xml:space="preserve">ser </w:t>
      </w:r>
      <w:r w:rsidRPr="009971F6">
        <w:t xml:space="preserve">positivamente relacionado </w:t>
      </w:r>
      <w:r w:rsidR="00491111" w:rsidRPr="009971F6">
        <w:t xml:space="preserve">com </w:t>
      </w:r>
      <w:r w:rsidRPr="009971F6">
        <w:t>a proporção florestal</w:t>
      </w:r>
      <w:r w:rsidR="00411CE8" w:rsidRPr="009971F6">
        <w:t>.</w:t>
      </w:r>
      <w:r w:rsidRPr="009971F6">
        <w:t xml:space="preserve"> </w:t>
      </w:r>
      <w:r w:rsidR="00411CE8" w:rsidRPr="009971F6">
        <w:t>Uma outra possibilidade, não prevista pela TTF, seria que a relação tivesse um</w:t>
      </w:r>
      <w:r w:rsidRPr="009971F6">
        <w:t xml:space="preserve"> formato semelhante a um “N” invertido, no qual existem dois pontos </w:t>
      </w:r>
      <w:r w:rsidR="00411CE8" w:rsidRPr="009971F6">
        <w:t>de inflexão</w:t>
      </w:r>
      <w:r w:rsidRPr="009971F6">
        <w:t xml:space="preserve"> e a curva passa, no segundo ponto, a apresentar novamente uma relação negativamente relacionada entre o desenvolvimento e a proporção florestal (BERGH, 1998). O trabalho irá, devido às </w:t>
      </w:r>
      <w:r w:rsidR="00EC09B4" w:rsidRPr="009971F6">
        <w:t>características da curva descrita na TTF</w:t>
      </w:r>
      <w:r w:rsidRPr="009971F6">
        <w:t>, testar somente a hipótese da curva em formato de “U”.</w:t>
      </w:r>
    </w:p>
    <w:p w14:paraId="675DED6A" w14:textId="77777777" w:rsidR="00AF4EE7" w:rsidRPr="009971F6" w:rsidRDefault="00AF4EE7" w:rsidP="00AF4EE7">
      <w:pPr>
        <w:pStyle w:val="Ttulo2"/>
        <w:spacing w:before="0" w:after="0"/>
        <w:ind w:firstLine="0"/>
      </w:pPr>
      <w:bookmarkStart w:id="13" w:name="_Toc130219027"/>
    </w:p>
    <w:p w14:paraId="6060656F" w14:textId="71AC5FCB" w:rsidR="001738C2" w:rsidRPr="009971F6" w:rsidRDefault="00AF4EE7" w:rsidP="00AF4EE7">
      <w:pPr>
        <w:pStyle w:val="Ttulo2"/>
        <w:spacing w:before="0" w:after="0"/>
        <w:ind w:firstLine="0"/>
        <w:rPr>
          <w:b/>
          <w:bCs/>
        </w:rPr>
      </w:pPr>
      <w:r w:rsidRPr="009971F6">
        <w:rPr>
          <w:b/>
          <w:bCs/>
        </w:rPr>
        <w:t>3</w:t>
      </w:r>
      <w:r w:rsidR="001738C2" w:rsidRPr="009971F6">
        <w:rPr>
          <w:b/>
          <w:bCs/>
        </w:rPr>
        <w:t>.</w:t>
      </w:r>
      <w:r w:rsidR="00842153" w:rsidRPr="009971F6">
        <w:rPr>
          <w:b/>
          <w:bCs/>
        </w:rPr>
        <w:t>3</w:t>
      </w:r>
      <w:r w:rsidR="001738C2" w:rsidRPr="009971F6">
        <w:rPr>
          <w:b/>
          <w:bCs/>
        </w:rPr>
        <w:t xml:space="preserve"> D</w:t>
      </w:r>
      <w:r w:rsidRPr="009971F6">
        <w:rPr>
          <w:b/>
          <w:bCs/>
        </w:rPr>
        <w:t>escrição das variáveis e fonte dos dados</w:t>
      </w:r>
      <w:bookmarkEnd w:id="13"/>
    </w:p>
    <w:p w14:paraId="6D204B48" w14:textId="777C1B13" w:rsidR="001738C2" w:rsidRPr="009971F6" w:rsidRDefault="001738C2" w:rsidP="00D3677A">
      <w:pPr>
        <w:pStyle w:val="TextoCorridoABNT"/>
      </w:pPr>
      <w:r w:rsidRPr="009971F6">
        <w:t xml:space="preserve">As variáveis utilizas no trabalho foram selecionadas para explicar diferentes efeitos sobre a cobertura florestal. Assim, buscou-se detectar fatores socioeconômicos, demográficos, de uso de terra e de políticas públicas. </w:t>
      </w:r>
      <w:r w:rsidR="00082644" w:rsidRPr="009971F6">
        <w:t>Algumas variáveis foram apresentadas em forma de logaritmo natural para amenizar possíveis distorções causadas pela magnitude dos dados</w:t>
      </w:r>
      <w:r w:rsidR="00063A9A" w:rsidRPr="009971F6">
        <w:t>, bem como para minimizar problemas relacionados a heterocedasticidade</w:t>
      </w:r>
      <w:r w:rsidR="00082644" w:rsidRPr="009971F6">
        <w:t>.</w:t>
      </w:r>
    </w:p>
    <w:p w14:paraId="0AF501F2" w14:textId="5BB4AB04" w:rsidR="001738C2" w:rsidRPr="009971F6" w:rsidRDefault="001738C2" w:rsidP="00D3677A">
      <w:pPr>
        <w:pStyle w:val="TextoCorridoABNT"/>
      </w:pPr>
      <w:r w:rsidRPr="009971F6">
        <w:t>Para a variável dependente, foi utilizada a variável de proporção de floresta, que representa a área florestal em relação a área total do município. Para tal utiliz</w:t>
      </w:r>
      <w:r w:rsidR="002D3915" w:rsidRPr="009971F6">
        <w:t>aram</w:t>
      </w:r>
      <w:r w:rsidRPr="009971F6">
        <w:t xml:space="preserve">-se valores </w:t>
      </w:r>
      <w:r w:rsidR="007B2CEF" w:rsidRPr="009971F6">
        <w:t xml:space="preserve">divulgados pelo </w:t>
      </w:r>
      <w:r w:rsidR="00932E60" w:rsidRPr="009971F6">
        <w:t>INPE através</w:t>
      </w:r>
      <w:r w:rsidR="007B2CEF" w:rsidRPr="009971F6">
        <w:t xml:space="preserve"> do</w:t>
      </w:r>
      <w:r w:rsidRPr="009971F6">
        <w:t xml:space="preserve"> Programa de Monitoramento da Amazônia e demais biomas </w:t>
      </w:r>
      <w:r w:rsidR="0010657E" w:rsidRPr="009971F6">
        <w:t xml:space="preserve">– </w:t>
      </w:r>
      <w:r w:rsidRPr="009971F6">
        <w:t>PRODES</w:t>
      </w:r>
      <w:r w:rsidR="0010657E" w:rsidRPr="009971F6">
        <w:t xml:space="preserve"> (</w:t>
      </w:r>
      <w:r w:rsidR="001E6461" w:rsidRPr="009971F6">
        <w:t>INPE&lt; 2022</w:t>
      </w:r>
      <w:r w:rsidRPr="009971F6">
        <w:t xml:space="preserve">). Dentre os municípios da Amazônia Legal, o projeto mapeou e categorizou as informações de 760 municípios devido </w:t>
      </w:r>
      <w:r w:rsidR="001E6461" w:rsidRPr="009971F6">
        <w:t>à</w:t>
      </w:r>
      <w:r w:rsidRPr="009971F6">
        <w:t xml:space="preserve">s limitações de tamanho para classificação via satélite. Assim, a proporção de área de floresta corresponde a toda área </w:t>
      </w:r>
      <w:r w:rsidRPr="009971F6">
        <w:lastRenderedPageBreak/>
        <w:t xml:space="preserve">florestal remanescente no munícipio </w:t>
      </w:r>
      <w:r w:rsidR="00C04358" w:rsidRPr="009971F6">
        <w:t>dividida</w:t>
      </w:r>
      <w:r w:rsidRPr="009971F6">
        <w:t xml:space="preserve"> </w:t>
      </w:r>
      <w:r w:rsidR="00C04358" w:rsidRPr="009971F6">
        <w:t>pel</w:t>
      </w:r>
      <w:r w:rsidRPr="009971F6">
        <w:t xml:space="preserve">a área total do município, conforme a </w:t>
      </w:r>
      <w:r w:rsidR="000A6E08" w:rsidRPr="009971F6">
        <w:t>expressão (4).</w:t>
      </w:r>
    </w:p>
    <w:p w14:paraId="69081CEC" w14:textId="612555C5" w:rsidR="001738C2" w:rsidRPr="009971F6" w:rsidRDefault="001738C2" w:rsidP="00D3677A">
      <w:pPr>
        <w:pStyle w:val="TextoCorridoABNT"/>
      </w:pPr>
      <m:oMath>
        <m:r>
          <w:rPr>
            <w:rFonts w:ascii="Cambria Math" w:hAnsi="Cambria Math"/>
          </w:rPr>
          <m:t>Propor</m:t>
        </m:r>
        <m:r>
          <m:rPr>
            <m:sty m:val="p"/>
          </m:rPr>
          <w:rPr>
            <w:rFonts w:ascii="Cambria Math" w:hAnsi="Cambria Math"/>
          </w:rPr>
          <m:t>çã</m:t>
        </m:r>
        <m:r>
          <w:rPr>
            <w:rFonts w:ascii="Cambria Math" w:hAnsi="Cambria Math"/>
          </w:rPr>
          <m:t>o</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á</m:t>
        </m:r>
        <m:r>
          <w:rPr>
            <w:rFonts w:ascii="Cambria Math" w:hAnsi="Cambria Math"/>
          </w:rPr>
          <m:t>rea</m:t>
        </m:r>
        <m:r>
          <m:rPr>
            <m:sty m:val="p"/>
          </m:rPr>
          <w:rPr>
            <w:rFonts w:ascii="Cambria Math" w:hAnsi="Cambria Math"/>
          </w:rPr>
          <m:t xml:space="preserve"> </m:t>
        </m:r>
        <m:r>
          <w:rPr>
            <w:rFonts w:ascii="Cambria Math" w:hAnsi="Cambria Math"/>
          </w:rPr>
          <m:t>florestal</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Á</m:t>
            </m:r>
            <m:r>
              <w:rPr>
                <w:rFonts w:ascii="Cambria Math" w:hAnsi="Cambria Math"/>
              </w:rPr>
              <m:t>rea</m:t>
            </m:r>
            <m:r>
              <m:rPr>
                <m:sty m:val="p"/>
              </m:rPr>
              <w:rPr>
                <w:rFonts w:ascii="Cambria Math" w:hAnsi="Cambria Math"/>
              </w:rPr>
              <m:t xml:space="preserve"> </m:t>
            </m:r>
            <m:r>
              <w:rPr>
                <w:rFonts w:ascii="Cambria Math" w:hAnsi="Cambria Math"/>
              </w:rPr>
              <m:t>florestal</m:t>
            </m:r>
            <m:r>
              <m:rPr>
                <m:sty m:val="p"/>
              </m:rPr>
              <w:rPr>
                <w:rFonts w:ascii="Cambria Math" w:hAnsi="Cambria Math"/>
              </w:rPr>
              <m:t xml:space="preserve"> </m:t>
            </m:r>
            <m:r>
              <w:rPr>
                <w:rFonts w:ascii="Cambria Math" w:hAnsi="Cambria Math"/>
              </w:rPr>
              <m:t>remanescente</m:t>
            </m:r>
            <m:r>
              <m:rPr>
                <m:sty m:val="p"/>
              </m:rPr>
              <w:rPr>
                <w:rFonts w:ascii="Cambria Math" w:hAnsi="Cambria Math"/>
              </w:rPr>
              <m:t xml:space="preserve"> </m:t>
            </m:r>
            <m:r>
              <w:rPr>
                <w:rFonts w:ascii="Cambria Math" w:hAnsi="Cambria Math"/>
              </w:rPr>
              <m:t>do</m:t>
            </m:r>
            <m:r>
              <m:rPr>
                <m:sty m:val="p"/>
              </m:rPr>
              <w:rPr>
                <w:rFonts w:ascii="Cambria Math" w:hAnsi="Cambria Math"/>
              </w:rPr>
              <m:t xml:space="preserve"> </m:t>
            </m:r>
            <m:r>
              <w:rPr>
                <w:rFonts w:ascii="Cambria Math" w:hAnsi="Cambria Math"/>
              </w:rPr>
              <m:t>munic</m:t>
            </m:r>
            <m:r>
              <m:rPr>
                <m:sty m:val="p"/>
              </m:rPr>
              <w:rPr>
                <w:rFonts w:ascii="Cambria Math" w:hAnsi="Cambria Math"/>
              </w:rPr>
              <m:t>í</m:t>
            </m:r>
            <m:r>
              <w:rPr>
                <w:rFonts w:ascii="Cambria Math" w:hAnsi="Cambria Math"/>
              </w:rPr>
              <m:t>pio</m:t>
            </m:r>
          </m:num>
          <m:den>
            <m:r>
              <m:rPr>
                <m:sty m:val="p"/>
              </m:rPr>
              <w:rPr>
                <w:rFonts w:ascii="Cambria Math" w:hAnsi="Cambria Math"/>
              </w:rPr>
              <m:t>Á</m:t>
            </m:r>
            <m:r>
              <w:rPr>
                <w:rFonts w:ascii="Cambria Math" w:hAnsi="Cambria Math"/>
              </w:rPr>
              <m:t>rea</m:t>
            </m:r>
            <m:r>
              <m:rPr>
                <m:sty m:val="p"/>
              </m:rPr>
              <w:rPr>
                <w:rFonts w:ascii="Cambria Math" w:hAnsi="Cambria Math"/>
              </w:rPr>
              <m:t xml:space="preserve"> </m:t>
            </m:r>
            <m:r>
              <w:rPr>
                <w:rFonts w:ascii="Cambria Math" w:hAnsi="Cambria Math"/>
              </w:rPr>
              <m:t>total</m:t>
            </m:r>
            <m:r>
              <m:rPr>
                <m:sty m:val="p"/>
              </m:rPr>
              <w:rPr>
                <w:rFonts w:ascii="Cambria Math" w:hAnsi="Cambria Math"/>
              </w:rPr>
              <m:t xml:space="preserve"> </m:t>
            </m:r>
            <m:r>
              <w:rPr>
                <w:rFonts w:ascii="Cambria Math" w:hAnsi="Cambria Math"/>
              </w:rPr>
              <m:t>do</m:t>
            </m:r>
            <m:r>
              <m:rPr>
                <m:sty m:val="p"/>
              </m:rPr>
              <w:rPr>
                <w:rFonts w:ascii="Cambria Math" w:hAnsi="Cambria Math"/>
              </w:rPr>
              <m:t xml:space="preserve"> </m:t>
            </m:r>
            <m:r>
              <w:rPr>
                <w:rFonts w:ascii="Cambria Math" w:hAnsi="Cambria Math"/>
              </w:rPr>
              <m:t>munic</m:t>
            </m:r>
            <m:r>
              <m:rPr>
                <m:sty m:val="p"/>
              </m:rPr>
              <w:rPr>
                <w:rFonts w:ascii="Cambria Math" w:hAnsi="Cambria Math"/>
              </w:rPr>
              <m:t>í</m:t>
            </m:r>
            <m:r>
              <w:rPr>
                <w:rFonts w:ascii="Cambria Math" w:hAnsi="Cambria Math"/>
              </w:rPr>
              <m:t>pio</m:t>
            </m:r>
          </m:den>
        </m:f>
        <m:r>
          <m:rPr>
            <m:sty m:val="p"/>
          </m:rPr>
          <w:rPr>
            <w:rFonts w:ascii="Cambria Math" w:hAnsi="Cambria Math"/>
          </w:rPr>
          <m:t xml:space="preserve"> </m:t>
        </m:r>
      </m:oMath>
      <w:r w:rsidRPr="009971F6">
        <w:tab/>
        <w:t xml:space="preserve">  </w:t>
      </w:r>
      <w:r w:rsidRPr="009971F6">
        <w:tab/>
        <w:t xml:space="preserve">   (4)</w:t>
      </w:r>
    </w:p>
    <w:p w14:paraId="5F58A60E" w14:textId="08C93C2B" w:rsidR="004673DC" w:rsidRPr="009971F6" w:rsidRDefault="001738C2" w:rsidP="00D94C91">
      <w:pPr>
        <w:pStyle w:val="TextoCorridoABNT"/>
      </w:pPr>
      <w:r w:rsidRPr="009971F6">
        <w:t>A variável de</w:t>
      </w:r>
      <w:r w:rsidR="004673DC" w:rsidRPr="009971F6">
        <w:t xml:space="preserve">nsidade demográfica </w:t>
      </w:r>
      <w:r w:rsidRPr="009971F6">
        <w:t>refere-se à população residente</w:t>
      </w:r>
      <w:r w:rsidR="004673DC" w:rsidRPr="009971F6">
        <w:t xml:space="preserve"> sobre a área</w:t>
      </w:r>
      <w:r w:rsidRPr="009971F6">
        <w:t xml:space="preserve"> dos municípios </w:t>
      </w:r>
      <w:r w:rsidR="0020351F" w:rsidRPr="009971F6">
        <w:t>em</w:t>
      </w:r>
      <w:r w:rsidRPr="009971F6">
        <w:t xml:space="preserve"> cada ano</w:t>
      </w:r>
      <w:r w:rsidR="00D94C91" w:rsidRPr="009971F6">
        <w:t>, que combina</w:t>
      </w:r>
      <w:r w:rsidR="004673DC" w:rsidRPr="009971F6">
        <w:t xml:space="preserve"> </w:t>
      </w:r>
      <w:r w:rsidR="00D94C91" w:rsidRPr="009971F6">
        <w:t>dados do</w:t>
      </w:r>
      <w:r w:rsidRPr="009971F6">
        <w:t xml:space="preserve"> Censo Demográfico</w:t>
      </w:r>
      <w:r w:rsidR="00D94C91" w:rsidRPr="009971F6">
        <w:t xml:space="preserve"> com</w:t>
      </w:r>
      <w:r w:rsidRPr="009971F6">
        <w:t xml:space="preserve"> a estimativa da população residente </w:t>
      </w:r>
      <w:r w:rsidR="00D94C91" w:rsidRPr="009971F6">
        <w:t>n</w:t>
      </w:r>
      <w:r w:rsidRPr="009971F6">
        <w:t>os municípios realizada pelo IBGE</w:t>
      </w:r>
      <w:r w:rsidR="00D94C91" w:rsidRPr="009971F6">
        <w:t xml:space="preserve"> para os demais anos</w:t>
      </w:r>
      <w:r w:rsidRPr="009971F6">
        <w:t>.</w:t>
      </w:r>
      <w:r w:rsidR="004673DC" w:rsidRPr="009971F6">
        <w:t xml:space="preserve"> Os valores estão disponíveis no Sistema de recuperação automática</w:t>
      </w:r>
      <w:r w:rsidR="007208A2" w:rsidRPr="009971F6">
        <w:t xml:space="preserve"> </w:t>
      </w:r>
      <w:r w:rsidR="000126B8" w:rsidRPr="009971F6">
        <w:t>–</w:t>
      </w:r>
      <w:r w:rsidR="007208A2" w:rsidRPr="009971F6">
        <w:t xml:space="preserve"> </w:t>
      </w:r>
      <w:r w:rsidR="004673DC" w:rsidRPr="009971F6">
        <w:t>SIDRA</w:t>
      </w:r>
      <w:r w:rsidR="000126B8" w:rsidRPr="009971F6">
        <w:t xml:space="preserve"> </w:t>
      </w:r>
      <w:r w:rsidR="007208A2" w:rsidRPr="009971F6">
        <w:t>(IBGE</w:t>
      </w:r>
      <w:r w:rsidR="000126B8" w:rsidRPr="009971F6">
        <w:t>, 2023</w:t>
      </w:r>
      <w:r w:rsidR="004673DC" w:rsidRPr="009971F6">
        <w:t>).</w:t>
      </w:r>
      <w:r w:rsidR="00D94C91" w:rsidRPr="009971F6">
        <w:t xml:space="preserve"> O cálculo da</w:t>
      </w:r>
      <w:r w:rsidR="004673DC" w:rsidRPr="009971F6">
        <w:t xml:space="preserve"> variável é representad</w:t>
      </w:r>
      <w:r w:rsidR="00D94C91" w:rsidRPr="009971F6">
        <w:t>o</w:t>
      </w:r>
      <w:r w:rsidR="004673DC" w:rsidRPr="009971F6">
        <w:t xml:space="preserve"> pela </w:t>
      </w:r>
      <w:r w:rsidR="000A6E08" w:rsidRPr="009971F6">
        <w:t>expressão (5).</w:t>
      </w:r>
    </w:p>
    <w:p w14:paraId="3F0FC4A5" w14:textId="68CE7862" w:rsidR="004673DC" w:rsidRPr="009971F6" w:rsidRDefault="004673DC" w:rsidP="00D3677A">
      <w:pPr>
        <w:pStyle w:val="TextoCorridoABNT"/>
      </w:pPr>
      <m:oMath>
        <m:r>
          <w:rPr>
            <w:rFonts w:ascii="Cambria Math" w:hAnsi="Cambria Math"/>
          </w:rPr>
          <m:t>Densidade</m:t>
        </m:r>
        <m:r>
          <m:rPr>
            <m:sty m:val="p"/>
          </m:rPr>
          <w:rPr>
            <w:rFonts w:ascii="Cambria Math" w:hAnsi="Cambria Math"/>
          </w:rPr>
          <m:t xml:space="preserve"> </m:t>
        </m:r>
        <m:r>
          <w:rPr>
            <w:rFonts w:ascii="Cambria Math" w:hAnsi="Cambria Math"/>
          </w:rPr>
          <m:t>demogr</m:t>
        </m:r>
        <m:r>
          <m:rPr>
            <m:sty m:val="p"/>
          </m:rPr>
          <w:rPr>
            <w:rFonts w:ascii="Cambria Math" w:hAnsi="Cambria Math"/>
          </w:rPr>
          <m:t>á</m:t>
        </m:r>
        <m:r>
          <w:rPr>
            <w:rFonts w:ascii="Cambria Math" w:hAnsi="Cambria Math"/>
          </w:rPr>
          <m:t>fica</m:t>
        </m:r>
        <m:r>
          <m:rPr>
            <m:sty m:val="p"/>
          </m:rPr>
          <w:rPr>
            <w:rFonts w:ascii="Cambria Math" w:hAnsi="Cambria Math"/>
          </w:rPr>
          <m:t>=</m:t>
        </m:r>
        <m:f>
          <m:fPr>
            <m:ctrlPr>
              <w:rPr>
                <w:rFonts w:ascii="Cambria Math" w:hAnsi="Cambria Math"/>
              </w:rPr>
            </m:ctrlPr>
          </m:fPr>
          <m:num>
            <m:r>
              <w:rPr>
                <w:rFonts w:ascii="Cambria Math" w:hAnsi="Cambria Math"/>
              </w:rPr>
              <m:t>Popula</m:t>
            </m:r>
            <m:r>
              <m:rPr>
                <m:sty m:val="p"/>
              </m:rPr>
              <w:rPr>
                <w:rFonts w:ascii="Cambria Math" w:hAnsi="Cambria Math"/>
              </w:rPr>
              <m:t>çã</m:t>
            </m:r>
            <m:r>
              <w:rPr>
                <w:rFonts w:ascii="Cambria Math" w:hAnsi="Cambria Math"/>
              </w:rPr>
              <m:t>o</m:t>
            </m:r>
            <m:r>
              <m:rPr>
                <m:sty m:val="p"/>
              </m:rPr>
              <w:rPr>
                <w:rFonts w:ascii="Cambria Math" w:hAnsi="Cambria Math"/>
              </w:rPr>
              <m:t xml:space="preserve"> </m:t>
            </m:r>
            <m:r>
              <w:rPr>
                <w:rFonts w:ascii="Cambria Math" w:hAnsi="Cambria Math"/>
              </w:rPr>
              <m:t>residente</m:t>
            </m:r>
          </m:num>
          <m:den>
            <m:r>
              <m:rPr>
                <m:sty m:val="p"/>
              </m:rPr>
              <w:rPr>
                <w:rFonts w:ascii="Cambria Math" w:hAnsi="Cambria Math"/>
              </w:rPr>
              <m:t>Á</m:t>
            </m:r>
            <m:r>
              <w:rPr>
                <w:rFonts w:ascii="Cambria Math" w:hAnsi="Cambria Math"/>
              </w:rPr>
              <m:t>rea</m:t>
            </m:r>
            <m:r>
              <m:rPr>
                <m:sty m:val="p"/>
              </m:rPr>
              <w:rPr>
                <w:rFonts w:ascii="Cambria Math" w:hAnsi="Cambria Math"/>
              </w:rPr>
              <m:t xml:space="preserve"> </m:t>
            </m:r>
            <m:r>
              <w:rPr>
                <w:rFonts w:ascii="Cambria Math" w:hAnsi="Cambria Math"/>
              </w:rPr>
              <m:t>total</m:t>
            </m:r>
            <m:r>
              <m:rPr>
                <m:sty m:val="p"/>
              </m:rPr>
              <w:rPr>
                <w:rFonts w:ascii="Cambria Math" w:hAnsi="Cambria Math"/>
              </w:rPr>
              <m:t xml:space="preserve"> </m:t>
            </m:r>
            <m:r>
              <w:rPr>
                <w:rFonts w:ascii="Cambria Math" w:hAnsi="Cambria Math"/>
              </w:rPr>
              <m:t>do</m:t>
            </m:r>
            <m:r>
              <m:rPr>
                <m:sty m:val="p"/>
              </m:rPr>
              <w:rPr>
                <w:rFonts w:ascii="Cambria Math" w:hAnsi="Cambria Math"/>
              </w:rPr>
              <m:t xml:space="preserve"> </m:t>
            </m:r>
            <m:r>
              <w:rPr>
                <w:rFonts w:ascii="Cambria Math" w:hAnsi="Cambria Math"/>
              </w:rPr>
              <m:t>munic</m:t>
            </m:r>
            <m:r>
              <m:rPr>
                <m:sty m:val="p"/>
              </m:rPr>
              <w:rPr>
                <w:rFonts w:ascii="Cambria Math" w:hAnsi="Cambria Math"/>
              </w:rPr>
              <m:t>í</m:t>
            </m:r>
            <m:r>
              <w:rPr>
                <w:rFonts w:ascii="Cambria Math" w:hAnsi="Cambria Math"/>
              </w:rPr>
              <m:t>pio</m:t>
            </m:r>
          </m:den>
        </m:f>
        <m:r>
          <m:rPr>
            <m:sty m:val="p"/>
          </m:rPr>
          <w:rPr>
            <w:rFonts w:ascii="Cambria Math" w:hAnsi="Cambria Math"/>
          </w:rPr>
          <m:t xml:space="preserve"> </m:t>
        </m:r>
      </m:oMath>
      <w:r w:rsidRPr="009971F6">
        <w:tab/>
        <w:t xml:space="preserve">  </w:t>
      </w:r>
      <w:r w:rsidRPr="009971F6">
        <w:tab/>
        <w:t xml:space="preserve">  </w:t>
      </w:r>
      <w:r w:rsidRPr="009971F6">
        <w:tab/>
      </w:r>
      <w:r w:rsidRPr="009971F6">
        <w:tab/>
        <w:t xml:space="preserve"> (5)</w:t>
      </w:r>
    </w:p>
    <w:p w14:paraId="3C974679" w14:textId="12A0538C" w:rsidR="001738C2" w:rsidRPr="009971F6" w:rsidRDefault="001738C2" w:rsidP="00AC5E4E">
      <w:pPr>
        <w:pStyle w:val="TextoCorridoABNT"/>
      </w:pPr>
      <w:r w:rsidRPr="009971F6">
        <w:t xml:space="preserve">O </w:t>
      </w:r>
      <w:r w:rsidR="00800F69" w:rsidRPr="009971F6">
        <w:t>P</w:t>
      </w:r>
      <w:r w:rsidRPr="009971F6">
        <w:t>roduto Interno Bruto</w:t>
      </w:r>
      <w:r w:rsidR="00800F69" w:rsidRPr="009971F6">
        <w:t xml:space="preserve"> (PIB)</w:t>
      </w:r>
      <w:r w:rsidRPr="009971F6">
        <w:t xml:space="preserve"> </w:t>
      </w:r>
      <w:r w:rsidRPr="009971F6">
        <w:rPr>
          <w:i/>
          <w:iCs/>
        </w:rPr>
        <w:t>per capita</w:t>
      </w:r>
      <w:r w:rsidRPr="009971F6">
        <w:t xml:space="preserve"> de cada município foi utilizado em sua forma linear e </w:t>
      </w:r>
      <w:r w:rsidR="009B1730" w:rsidRPr="009971F6">
        <w:t xml:space="preserve">elevada à segunda potência </w:t>
      </w:r>
      <w:r w:rsidRPr="009971F6">
        <w:t xml:space="preserve">para </w:t>
      </w:r>
      <w:r w:rsidR="00431831" w:rsidRPr="009971F6">
        <w:t xml:space="preserve">possibilitar o </w:t>
      </w:r>
      <w:r w:rsidRPr="009971F6">
        <w:t>test</w:t>
      </w:r>
      <w:r w:rsidR="00431831" w:rsidRPr="009971F6">
        <w:t>e</w:t>
      </w:r>
      <w:r w:rsidRPr="009971F6">
        <w:t xml:space="preserve"> </w:t>
      </w:r>
      <w:r w:rsidR="00431831" w:rsidRPr="009971F6">
        <w:t>d</w:t>
      </w:r>
      <w:r w:rsidRPr="009971F6">
        <w:t xml:space="preserve">o formato da curva da TTF. Os dados foram </w:t>
      </w:r>
      <w:r w:rsidR="00431831" w:rsidRPr="009971F6">
        <w:t xml:space="preserve">obtidos </w:t>
      </w:r>
      <w:r w:rsidR="000126B8" w:rsidRPr="009971F6">
        <w:t>por meio</w:t>
      </w:r>
      <w:r w:rsidRPr="009971F6">
        <w:t xml:space="preserve"> do SIDRA</w:t>
      </w:r>
      <w:r w:rsidR="000126B8" w:rsidRPr="009971F6">
        <w:t xml:space="preserve"> (IBGE, 2023)</w:t>
      </w:r>
      <w:r w:rsidR="00AC5E4E" w:rsidRPr="009971F6">
        <w:t xml:space="preserve"> </w:t>
      </w:r>
      <w:r w:rsidR="00733C7E" w:rsidRPr="009971F6">
        <w:t xml:space="preserve">e foram calculados </w:t>
      </w:r>
      <w:r w:rsidR="00AC5E4E" w:rsidRPr="009971F6">
        <w:t xml:space="preserve">dividindo-se </w:t>
      </w:r>
      <w:r w:rsidRPr="009971F6">
        <w:t>o PIB d</w:t>
      </w:r>
      <w:r w:rsidR="00AC5E4E" w:rsidRPr="009971F6">
        <w:t>e cada</w:t>
      </w:r>
      <w:r w:rsidRPr="009971F6">
        <w:t xml:space="preserve"> município por sua população</w:t>
      </w:r>
      <w:r w:rsidR="00954228" w:rsidRPr="009971F6">
        <w:t xml:space="preserve">. A variável </w:t>
      </w:r>
      <w:r w:rsidRPr="009971F6">
        <w:t>é express</w:t>
      </w:r>
      <w:r w:rsidR="0010243E" w:rsidRPr="009971F6">
        <w:t>a</w:t>
      </w:r>
      <w:r w:rsidRPr="009971F6">
        <w:t xml:space="preserve"> em mil reais</w:t>
      </w:r>
      <w:r w:rsidR="00954228" w:rsidRPr="009971F6">
        <w:t xml:space="preserve"> e entrou no modelo em</w:t>
      </w:r>
      <w:r w:rsidRPr="009971F6">
        <w:t xml:space="preserve"> logaritmo natural</w:t>
      </w:r>
      <w:r w:rsidR="003633AF" w:rsidRPr="009971F6">
        <w:t>.</w:t>
      </w:r>
      <w:r w:rsidRPr="009971F6">
        <w:t xml:space="preserve"> </w:t>
      </w:r>
      <w:r w:rsidR="003633AF" w:rsidRPr="009971F6">
        <w:t>A</w:t>
      </w:r>
      <w:r w:rsidRPr="009971F6">
        <w:t xml:space="preserve"> e</w:t>
      </w:r>
      <w:r w:rsidR="000A6E08" w:rsidRPr="009971F6">
        <w:t>xpressão (6)</w:t>
      </w:r>
      <w:r w:rsidR="003633AF" w:rsidRPr="009971F6">
        <w:t xml:space="preserve"> apresenta o cálculo desta variável</w:t>
      </w:r>
      <w:r w:rsidR="000A6E08" w:rsidRPr="009971F6">
        <w:t>.</w:t>
      </w:r>
    </w:p>
    <w:p w14:paraId="12776D19" w14:textId="166C7F84" w:rsidR="001738C2" w:rsidRPr="009971F6" w:rsidRDefault="001738C2" w:rsidP="00D3677A">
      <w:pPr>
        <w:pStyle w:val="TextoCorridoABNT"/>
      </w:pPr>
      <m:oMath>
        <m:r>
          <w:rPr>
            <w:rFonts w:ascii="Cambria Math" w:hAnsi="Cambria Math"/>
          </w:rPr>
          <m:t>ln</m:t>
        </m:r>
        <m:r>
          <m:rPr>
            <m:sty m:val="p"/>
          </m:rPr>
          <w:rPr>
            <w:rFonts w:ascii="Cambria Math" w:hAnsi="Cambria Math"/>
          </w:rPr>
          <m:t>⁡</m:t>
        </m:r>
        <m:r>
          <w:rPr>
            <w:rFonts w:ascii="Cambria Math" w:hAnsi="Cambria Math"/>
          </w:rPr>
          <m:t>PIB</m:t>
        </m:r>
        <m:r>
          <m:rPr>
            <m:sty m:val="p"/>
          </m:rPr>
          <w:rPr>
            <w:rFonts w:ascii="Cambria Math" w:hAnsi="Cambria Math"/>
          </w:rPr>
          <m:t xml:space="preserve"> </m:t>
        </m:r>
        <m:r>
          <w:rPr>
            <w:rFonts w:ascii="Cambria Math" w:hAnsi="Cambria Math"/>
          </w:rPr>
          <m:t>per</m:t>
        </m:r>
        <m:r>
          <m:rPr>
            <m:sty m:val="p"/>
          </m:rPr>
          <w:rPr>
            <w:rFonts w:ascii="Cambria Math" w:hAnsi="Cambria Math"/>
          </w:rPr>
          <m:t xml:space="preserve"> </m:t>
        </m:r>
        <m:r>
          <w:rPr>
            <w:rFonts w:ascii="Cambria Math" w:hAnsi="Cambria Math"/>
          </w:rPr>
          <m:t>capita</m:t>
        </m:r>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f>
                  <m:fPr>
                    <m:ctrlPr>
                      <w:rPr>
                        <w:rFonts w:ascii="Cambria Math" w:hAnsi="Cambria Math"/>
                      </w:rPr>
                    </m:ctrlPr>
                  </m:fPr>
                  <m:num>
                    <m:r>
                      <w:rPr>
                        <w:rFonts w:ascii="Cambria Math" w:hAnsi="Cambria Math"/>
                      </w:rPr>
                      <m:t>PIB</m:t>
                    </m:r>
                  </m:num>
                  <m:den>
                    <m:r>
                      <w:rPr>
                        <w:rFonts w:ascii="Cambria Math" w:hAnsi="Cambria Math"/>
                      </w:rPr>
                      <m:t>Popula</m:t>
                    </m:r>
                    <m:r>
                      <m:rPr>
                        <m:sty m:val="p"/>
                      </m:rPr>
                      <w:rPr>
                        <w:rFonts w:ascii="Cambria Math" w:hAnsi="Cambria Math"/>
                      </w:rPr>
                      <m:t>çã</m:t>
                    </m:r>
                    <m:r>
                      <w:rPr>
                        <w:rFonts w:ascii="Cambria Math" w:hAnsi="Cambria Math"/>
                      </w:rPr>
                      <m:t>o</m:t>
                    </m:r>
                  </m:den>
                </m:f>
              </m:e>
            </m:d>
          </m:e>
        </m:func>
      </m:oMath>
      <w:r w:rsidRPr="009971F6">
        <w:tab/>
      </w:r>
      <w:r w:rsidRPr="009971F6">
        <w:tab/>
      </w:r>
      <w:r w:rsidRPr="009971F6">
        <w:tab/>
      </w:r>
      <w:r w:rsidRPr="009971F6">
        <w:tab/>
      </w:r>
      <w:r w:rsidRPr="009971F6">
        <w:tab/>
      </w:r>
      <w:r w:rsidRPr="009971F6">
        <w:tab/>
      </w:r>
      <w:r w:rsidRPr="009971F6">
        <w:tab/>
        <w:t>(</w:t>
      </w:r>
      <w:r w:rsidR="004673DC" w:rsidRPr="009971F6">
        <w:t>6</w:t>
      </w:r>
      <w:r w:rsidRPr="009971F6">
        <w:t>)</w:t>
      </w:r>
    </w:p>
    <w:p w14:paraId="0AA10318" w14:textId="639A084F" w:rsidR="001738C2" w:rsidRPr="009971F6" w:rsidRDefault="001738C2" w:rsidP="00D3677A">
      <w:pPr>
        <w:pStyle w:val="TextoCorridoABNT"/>
      </w:pPr>
      <w:r w:rsidRPr="009971F6">
        <w:t xml:space="preserve">O PIB agropecuário (proporção) </w:t>
      </w:r>
      <w:r w:rsidR="00C66D74" w:rsidRPr="009971F6">
        <w:t>foi</w:t>
      </w:r>
      <w:r w:rsidRPr="009971F6">
        <w:t xml:space="preserve"> obtido dividindo</w:t>
      </w:r>
      <w:r w:rsidR="00C66D74" w:rsidRPr="009971F6">
        <w:t>-se</w:t>
      </w:r>
      <w:r w:rsidRPr="009971F6">
        <w:t xml:space="preserve"> o valor adicionado bruto da agropecuária pelo valor adicionado bruto total</w:t>
      </w:r>
      <w:r w:rsidR="00276EF2" w:rsidRPr="009971F6">
        <w:t xml:space="preserve"> em cada município</w:t>
      </w:r>
      <w:r w:rsidRPr="009971F6">
        <w:t xml:space="preserve">. Ambos os dados foram obtidos através do SIDRA </w:t>
      </w:r>
      <w:r w:rsidR="000126B8" w:rsidRPr="009971F6">
        <w:t>(IBGE, 2023)</w:t>
      </w:r>
      <w:r w:rsidR="00276EF2" w:rsidRPr="009971F6">
        <w:t>. O cálculo d</w:t>
      </w:r>
      <w:r w:rsidRPr="009971F6">
        <w:t>a variável é representad</w:t>
      </w:r>
      <w:r w:rsidR="00B3762D" w:rsidRPr="009971F6">
        <w:t>o</w:t>
      </w:r>
      <w:r w:rsidRPr="009971F6">
        <w:t xml:space="preserve"> pela </w:t>
      </w:r>
      <w:r w:rsidR="0010243E" w:rsidRPr="009971F6">
        <w:t>expressão (7).</w:t>
      </w:r>
    </w:p>
    <w:p w14:paraId="5E006D3C" w14:textId="750A611F" w:rsidR="001738C2" w:rsidRPr="009971F6" w:rsidRDefault="001738C2" w:rsidP="00D3677A">
      <w:pPr>
        <w:pStyle w:val="TextoCorridoABNT"/>
      </w:pPr>
      <m:oMath>
        <m:r>
          <w:rPr>
            <w:rFonts w:ascii="Cambria Math" w:hAnsi="Cambria Math"/>
          </w:rPr>
          <m:t>Propor</m:t>
        </m:r>
        <m:r>
          <m:rPr>
            <m:sty m:val="p"/>
          </m:rPr>
          <w:rPr>
            <w:rFonts w:ascii="Cambria Math" w:hAnsi="Cambria Math"/>
          </w:rPr>
          <m:t>çã</m:t>
        </m:r>
        <m:r>
          <w:rPr>
            <w:rFonts w:ascii="Cambria Math" w:hAnsi="Cambria Math"/>
          </w:rPr>
          <m:t>o</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PIB</m:t>
        </m:r>
        <m:r>
          <m:rPr>
            <m:sty m:val="p"/>
          </m:rPr>
          <w:rPr>
            <w:rFonts w:ascii="Cambria Math" w:hAnsi="Cambria Math"/>
          </w:rPr>
          <m:t xml:space="preserve"> </m:t>
        </m:r>
        <m:r>
          <w:rPr>
            <w:rFonts w:ascii="Cambria Math" w:hAnsi="Cambria Math"/>
          </w:rPr>
          <m:t>agropecu</m:t>
        </m:r>
        <m:r>
          <m:rPr>
            <m:sty m:val="p"/>
          </m:rPr>
          <w:rPr>
            <w:rFonts w:ascii="Cambria Math" w:hAnsi="Cambria Math"/>
          </w:rPr>
          <m:t>á</m:t>
        </m:r>
        <m:r>
          <w:rPr>
            <w:rFonts w:ascii="Cambria Math" w:hAnsi="Cambria Math"/>
          </w:rPr>
          <m:t>rio</m:t>
        </m:r>
        <m:r>
          <m:rPr>
            <m:sty m:val="p"/>
          </m:rPr>
          <w:rPr>
            <w:rFonts w:ascii="Cambria Math" w:hAnsi="Cambria Math"/>
          </w:rPr>
          <m:t>=</m:t>
        </m:r>
        <m:f>
          <m:fPr>
            <m:ctrlPr>
              <w:rPr>
                <w:rFonts w:ascii="Cambria Math" w:hAnsi="Cambria Math"/>
              </w:rPr>
            </m:ctrlPr>
          </m:fPr>
          <m:num>
            <m:r>
              <w:rPr>
                <w:rFonts w:ascii="Cambria Math" w:hAnsi="Cambria Math"/>
              </w:rPr>
              <m:t>Valor</m:t>
            </m:r>
            <m:r>
              <m:rPr>
                <m:sty m:val="p"/>
              </m:rPr>
              <w:rPr>
                <w:rFonts w:ascii="Cambria Math" w:hAnsi="Cambria Math"/>
              </w:rPr>
              <m:t xml:space="preserve"> </m:t>
            </m:r>
            <m:r>
              <w:rPr>
                <w:rFonts w:ascii="Cambria Math" w:hAnsi="Cambria Math"/>
              </w:rPr>
              <m:t>adicionado</m:t>
            </m:r>
            <m:r>
              <m:rPr>
                <m:sty m:val="p"/>
              </m:rPr>
              <w:rPr>
                <w:rFonts w:ascii="Cambria Math" w:hAnsi="Cambria Math"/>
              </w:rPr>
              <m:t xml:space="preserve"> </m:t>
            </m:r>
            <m:r>
              <w:rPr>
                <w:rFonts w:ascii="Cambria Math" w:hAnsi="Cambria Math"/>
              </w:rPr>
              <m:t>bruto</m:t>
            </m:r>
            <m:r>
              <m:rPr>
                <m:sty m:val="p"/>
              </m:rPr>
              <w:rPr>
                <w:rFonts w:ascii="Cambria Math" w:hAnsi="Cambria Math"/>
              </w:rPr>
              <m:t xml:space="preserve"> </m:t>
            </m:r>
            <m:r>
              <w:rPr>
                <w:rFonts w:ascii="Cambria Math" w:hAnsi="Cambria Math"/>
              </w:rPr>
              <m:t>agropecu</m:t>
            </m:r>
            <m:r>
              <m:rPr>
                <m:sty m:val="p"/>
              </m:rPr>
              <w:rPr>
                <w:rFonts w:ascii="Cambria Math" w:hAnsi="Cambria Math"/>
              </w:rPr>
              <m:t>á</m:t>
            </m:r>
            <m:r>
              <w:rPr>
                <w:rFonts w:ascii="Cambria Math" w:hAnsi="Cambria Math"/>
              </w:rPr>
              <m:t>rio</m:t>
            </m:r>
          </m:num>
          <m:den>
            <m:r>
              <w:rPr>
                <w:rFonts w:ascii="Cambria Math" w:hAnsi="Cambria Math"/>
              </w:rPr>
              <m:t>Valor</m:t>
            </m:r>
            <m:r>
              <m:rPr>
                <m:sty m:val="p"/>
              </m:rPr>
              <w:rPr>
                <w:rFonts w:ascii="Cambria Math" w:hAnsi="Cambria Math"/>
              </w:rPr>
              <m:t xml:space="preserve"> </m:t>
            </m:r>
            <m:r>
              <w:rPr>
                <w:rFonts w:ascii="Cambria Math" w:hAnsi="Cambria Math"/>
              </w:rPr>
              <m:t>adicionado</m:t>
            </m:r>
            <m:r>
              <m:rPr>
                <m:sty m:val="p"/>
              </m:rPr>
              <w:rPr>
                <w:rFonts w:ascii="Cambria Math" w:hAnsi="Cambria Math"/>
              </w:rPr>
              <m:t xml:space="preserve"> </m:t>
            </m:r>
            <m:r>
              <w:rPr>
                <w:rFonts w:ascii="Cambria Math" w:hAnsi="Cambria Math"/>
              </w:rPr>
              <m:t>bruto</m:t>
            </m:r>
            <m:r>
              <m:rPr>
                <m:sty m:val="p"/>
              </m:rPr>
              <w:rPr>
                <w:rFonts w:ascii="Cambria Math" w:hAnsi="Cambria Math"/>
              </w:rPr>
              <m:t xml:space="preserve"> </m:t>
            </m:r>
            <m:r>
              <w:rPr>
                <w:rFonts w:ascii="Cambria Math" w:hAnsi="Cambria Math"/>
              </w:rPr>
              <m:t>total</m:t>
            </m:r>
          </m:den>
        </m:f>
      </m:oMath>
      <w:r w:rsidRPr="009971F6">
        <w:tab/>
        <w:t xml:space="preserve">  </w:t>
      </w:r>
      <w:r w:rsidR="006B6458" w:rsidRPr="009971F6">
        <w:tab/>
      </w:r>
      <w:r w:rsidRPr="009971F6">
        <w:t>(</w:t>
      </w:r>
      <w:r w:rsidR="004673DC" w:rsidRPr="009971F6">
        <w:t>7</w:t>
      </w:r>
      <w:r w:rsidRPr="009971F6">
        <w:t>)</w:t>
      </w:r>
    </w:p>
    <w:p w14:paraId="2287C67C" w14:textId="01527ABF" w:rsidR="001738C2" w:rsidRPr="009971F6" w:rsidRDefault="001738C2" w:rsidP="00D3677A">
      <w:pPr>
        <w:pStyle w:val="TextoCorridoABNT"/>
      </w:pPr>
      <w:r w:rsidRPr="009971F6">
        <w:t>Por fim, o valor médio d</w:t>
      </w:r>
      <w:r w:rsidR="00B3762D" w:rsidRPr="009971F6">
        <w:t>as</w:t>
      </w:r>
      <w:r w:rsidRPr="009971F6">
        <w:t xml:space="preserve"> multas foi calculado dividindo-se o valor total d</w:t>
      </w:r>
      <w:r w:rsidR="00B3762D" w:rsidRPr="009971F6">
        <w:t>as</w:t>
      </w:r>
      <w:r w:rsidRPr="009971F6">
        <w:t xml:space="preserve"> multas quitadas de cada município pela sua área desmatada no ano. Os valores das multas foram obtidos através do IBAMA </w:t>
      </w:r>
      <w:r w:rsidR="000126B8" w:rsidRPr="009971F6">
        <w:t>(IB</w:t>
      </w:r>
      <w:r w:rsidR="00723EE1" w:rsidRPr="009971F6">
        <w:t>AMA, 2023)</w:t>
      </w:r>
      <w:r w:rsidRPr="009971F6">
        <w:t>. Os dados referentes a área de desmatamento foram obtidos através do PRODES</w:t>
      </w:r>
      <w:r w:rsidR="00176301" w:rsidRPr="009971F6">
        <w:t xml:space="preserve"> (INPE, 2022)</w:t>
      </w:r>
      <w:r w:rsidRPr="009971F6">
        <w:t>.</w:t>
      </w:r>
      <w:r w:rsidR="00717C73" w:rsidRPr="009971F6">
        <w:t xml:space="preserve"> </w:t>
      </w:r>
      <w:r w:rsidR="00704BDF" w:rsidRPr="009971F6">
        <w:t>Também se utilizou</w:t>
      </w:r>
      <w:r w:rsidRPr="009971F6">
        <w:t xml:space="preserve"> a forma de logaritmo natural para a variável</w:t>
      </w:r>
      <w:r w:rsidR="00704BDF" w:rsidRPr="009971F6">
        <w:t xml:space="preserve">. </w:t>
      </w:r>
      <w:r w:rsidR="00717C73" w:rsidRPr="009971F6">
        <w:t xml:space="preserve">A expressão (8) </w:t>
      </w:r>
      <w:r w:rsidR="00704BDF" w:rsidRPr="009971F6">
        <w:t>a</w:t>
      </w:r>
      <w:r w:rsidR="00717C73" w:rsidRPr="009971F6">
        <w:t xml:space="preserve">presenta </w:t>
      </w:r>
      <w:r w:rsidR="0046237C" w:rsidRPr="009971F6">
        <w:t>o</w:t>
      </w:r>
      <w:r w:rsidR="00704BDF" w:rsidRPr="009971F6">
        <w:t xml:space="preserve"> cálculo</w:t>
      </w:r>
      <w:r w:rsidR="0046237C" w:rsidRPr="009971F6">
        <w:t xml:space="preserve"> </w:t>
      </w:r>
      <w:r w:rsidR="00704BDF" w:rsidRPr="009971F6">
        <w:t xml:space="preserve">dos </w:t>
      </w:r>
      <w:r w:rsidR="0046237C" w:rsidRPr="009971F6">
        <w:t xml:space="preserve">valores utilizados </w:t>
      </w:r>
      <w:r w:rsidR="00704BDF" w:rsidRPr="009971F6">
        <w:t>p</w:t>
      </w:r>
      <w:r w:rsidR="0046237C" w:rsidRPr="009971F6">
        <w:t>ara esta variável.</w:t>
      </w:r>
    </w:p>
    <w:p w14:paraId="4DD636BF" w14:textId="1DBEB74E" w:rsidR="001738C2" w:rsidRPr="009971F6" w:rsidRDefault="003A02D1" w:rsidP="00D3677A">
      <w:pPr>
        <w:pStyle w:val="TextoCorridoABNT"/>
        <w:rPr>
          <w:iCs/>
        </w:rPr>
      </w:pPr>
      <m:oMath>
        <m:func>
          <m:funcPr>
            <m:ctrlPr>
              <w:rPr>
                <w:rFonts w:ascii="Cambria Math" w:hAnsi="Cambria Math"/>
              </w:rPr>
            </m:ctrlPr>
          </m:funcPr>
          <m:fName>
            <m:r>
              <w:rPr>
                <w:rFonts w:ascii="Cambria Math" w:hAnsi="Cambria Math"/>
              </w:rPr>
              <m:t>ln</m:t>
            </m:r>
          </m:fName>
          <m:e>
            <m:r>
              <w:rPr>
                <w:rFonts w:ascii="Cambria Math" w:hAnsi="Cambria Math"/>
              </w:rPr>
              <m:t>valor</m:t>
            </m:r>
            <m:r>
              <m:rPr>
                <m:sty m:val="p"/>
              </m:rPr>
              <w:rPr>
                <w:rFonts w:ascii="Cambria Math" w:hAnsi="Cambria Math"/>
              </w:rPr>
              <m:t xml:space="preserve"> </m:t>
            </m:r>
            <m:r>
              <w:rPr>
                <w:rFonts w:ascii="Cambria Math" w:hAnsi="Cambria Math"/>
              </w:rPr>
              <m:t>m</m:t>
            </m:r>
            <m:r>
              <m:rPr>
                <m:sty m:val="p"/>
              </m:rPr>
              <w:rPr>
                <w:rFonts w:ascii="Cambria Math" w:hAnsi="Cambria Math"/>
              </w:rPr>
              <m:t>é</m:t>
            </m:r>
            <m:r>
              <w:rPr>
                <w:rFonts w:ascii="Cambria Math" w:hAnsi="Cambria Math"/>
              </w:rPr>
              <m:t>dio</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multas</m:t>
            </m:r>
            <m:r>
              <m:rPr>
                <m:sty m:val="p"/>
              </m:rPr>
              <w:rPr>
                <w:rFonts w:ascii="Cambria Math" w:hAnsi="Cambria Math"/>
              </w:rPr>
              <m:t>=</m:t>
            </m:r>
            <m:r>
              <w:rPr>
                <w:rFonts w:ascii="Cambria Math" w:hAnsi="Cambria Math"/>
              </w:rPr>
              <m:t>ln</m:t>
            </m:r>
            <m:f>
              <m:fPr>
                <m:ctrlPr>
                  <w:rPr>
                    <w:rFonts w:ascii="Cambria Math" w:hAnsi="Cambria Math"/>
                  </w:rPr>
                </m:ctrlPr>
              </m:fPr>
              <m:num>
                <m:r>
                  <m:rPr>
                    <m:sty m:val="p"/>
                  </m:rPr>
                  <w:rPr>
                    <w:rFonts w:ascii="Cambria Math" w:hAnsi="Cambria Math"/>
                  </w:rPr>
                  <m:t>(1+</m:t>
                </m:r>
                <m:r>
                  <w:rPr>
                    <w:rFonts w:ascii="Cambria Math" w:hAnsi="Cambria Math"/>
                  </w:rPr>
                  <m:t>valor</m:t>
                </m:r>
                <m:r>
                  <m:rPr>
                    <m:sty m:val="p"/>
                  </m:rPr>
                  <w:rPr>
                    <w:rFonts w:ascii="Cambria Math" w:hAnsi="Cambria Math"/>
                  </w:rPr>
                  <m:t xml:space="preserve"> </m:t>
                </m:r>
                <m:r>
                  <w:rPr>
                    <w:rFonts w:ascii="Cambria Math" w:hAnsi="Cambria Math"/>
                  </w:rPr>
                  <m:t>das</m:t>
                </m:r>
                <m:r>
                  <m:rPr>
                    <m:sty m:val="p"/>
                  </m:rPr>
                  <w:rPr>
                    <w:rFonts w:ascii="Cambria Math" w:hAnsi="Cambria Math"/>
                  </w:rPr>
                  <m:t xml:space="preserve"> </m:t>
                </m:r>
                <m:r>
                  <w:rPr>
                    <w:rFonts w:ascii="Cambria Math" w:hAnsi="Cambria Math"/>
                  </w:rPr>
                  <m:t>multas</m:t>
                </m:r>
                <m:r>
                  <m:rPr>
                    <m:sty m:val="p"/>
                  </m:rPr>
                  <w:rPr>
                    <w:rFonts w:ascii="Cambria Math" w:hAnsi="Cambria Math"/>
                  </w:rPr>
                  <m:t>)</m:t>
                </m:r>
              </m:num>
              <m:den>
                <m:r>
                  <m:rPr>
                    <m:sty m:val="p"/>
                  </m:rPr>
                  <w:rPr>
                    <w:rFonts w:ascii="Cambria Math" w:hAnsi="Cambria Math"/>
                  </w:rPr>
                  <m:t>(1+á</m:t>
                </m:r>
                <m:r>
                  <w:rPr>
                    <w:rFonts w:ascii="Cambria Math" w:hAnsi="Cambria Math"/>
                  </w:rPr>
                  <m:t>rea</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desmatamento</m:t>
                </m:r>
                <m:r>
                  <m:rPr>
                    <m:sty m:val="p"/>
                  </m:rPr>
                  <w:rPr>
                    <w:rFonts w:ascii="Cambria Math" w:hAnsi="Cambria Math"/>
                  </w:rPr>
                  <m:t>)</m:t>
                </m:r>
              </m:den>
            </m:f>
          </m:e>
        </m:func>
      </m:oMath>
      <w:r w:rsidR="001738C2" w:rsidRPr="009971F6">
        <w:tab/>
      </w:r>
      <w:r w:rsidR="001738C2" w:rsidRPr="009971F6">
        <w:tab/>
      </w:r>
      <w:r w:rsidR="001738C2" w:rsidRPr="009971F6">
        <w:tab/>
      </w:r>
      <w:r w:rsidR="001738C2" w:rsidRPr="009971F6">
        <w:tab/>
      </w:r>
      <w:r w:rsidR="001738C2" w:rsidRPr="009971F6">
        <w:rPr>
          <w:iCs/>
        </w:rPr>
        <w:t>(</w:t>
      </w:r>
      <w:r w:rsidR="004673DC" w:rsidRPr="009971F6">
        <w:rPr>
          <w:iCs/>
        </w:rPr>
        <w:t>8</w:t>
      </w:r>
      <w:r w:rsidR="001738C2" w:rsidRPr="009971F6">
        <w:rPr>
          <w:iCs/>
        </w:rPr>
        <w:t>)</w:t>
      </w:r>
    </w:p>
    <w:p w14:paraId="427D84DA" w14:textId="77777777" w:rsidR="00AF4EE7" w:rsidRPr="009971F6" w:rsidRDefault="00AF4EE7" w:rsidP="0061318A">
      <w:pPr>
        <w:pStyle w:val="Ttulo1"/>
        <w:ind w:left="0" w:firstLine="0"/>
      </w:pPr>
      <w:bookmarkStart w:id="14" w:name="_Toc130219028"/>
    </w:p>
    <w:p w14:paraId="32BB17FB" w14:textId="0912B3E0" w:rsidR="00573D67" w:rsidRPr="009971F6" w:rsidRDefault="00AF4EE7" w:rsidP="0061318A">
      <w:pPr>
        <w:pStyle w:val="Ttulo1"/>
        <w:ind w:left="0" w:firstLine="0"/>
      </w:pPr>
      <w:r w:rsidRPr="009971F6">
        <w:t>4</w:t>
      </w:r>
      <w:r w:rsidR="00573D67" w:rsidRPr="009971F6">
        <w:t xml:space="preserve"> </w:t>
      </w:r>
      <w:r w:rsidR="00AA1043" w:rsidRPr="009971F6">
        <w:t>R</w:t>
      </w:r>
      <w:bookmarkEnd w:id="14"/>
      <w:r w:rsidR="000F705B" w:rsidRPr="009971F6">
        <w:t>esultados e discussões</w:t>
      </w:r>
    </w:p>
    <w:p w14:paraId="0040523E" w14:textId="3C6E97E0" w:rsidR="00C424F0" w:rsidRPr="009971F6" w:rsidRDefault="00AF4EE7" w:rsidP="0061318A">
      <w:pPr>
        <w:pStyle w:val="Ttulo2"/>
        <w:spacing w:before="0" w:after="0"/>
        <w:ind w:firstLine="0"/>
        <w:rPr>
          <w:b/>
          <w:bCs/>
        </w:rPr>
      </w:pPr>
      <w:bookmarkStart w:id="15" w:name="_Toc130219029"/>
      <w:r w:rsidRPr="009971F6">
        <w:rPr>
          <w:b/>
          <w:bCs/>
        </w:rPr>
        <w:t>4</w:t>
      </w:r>
      <w:r w:rsidR="003B31A1" w:rsidRPr="009971F6">
        <w:rPr>
          <w:b/>
          <w:bCs/>
        </w:rPr>
        <w:t>.</w:t>
      </w:r>
      <w:r w:rsidR="00DC2A9A" w:rsidRPr="009971F6">
        <w:rPr>
          <w:b/>
          <w:bCs/>
        </w:rPr>
        <w:t>1 A</w:t>
      </w:r>
      <w:r w:rsidR="0061318A" w:rsidRPr="009971F6">
        <w:rPr>
          <w:b/>
          <w:bCs/>
        </w:rPr>
        <w:t>nálise exploratória dos dados</w:t>
      </w:r>
      <w:bookmarkEnd w:id="15"/>
    </w:p>
    <w:p w14:paraId="11080DDA" w14:textId="70DFEF83" w:rsidR="00C424F0" w:rsidRPr="009971F6" w:rsidRDefault="00B53EED" w:rsidP="00D3677A">
      <w:pPr>
        <w:pStyle w:val="TextoCorridoABNT"/>
      </w:pPr>
      <w:r w:rsidRPr="009971F6">
        <w:t xml:space="preserve">A análise descritiva dos </w:t>
      </w:r>
      <w:r w:rsidR="000660FC" w:rsidRPr="009971F6">
        <w:t xml:space="preserve">dados </w:t>
      </w:r>
      <w:r w:rsidRPr="009971F6">
        <w:t xml:space="preserve">utilizados para a elaboração do modelo econométrico </w:t>
      </w:r>
      <w:r w:rsidR="000660FC" w:rsidRPr="009971F6">
        <w:t>é</w:t>
      </w:r>
      <w:r w:rsidRPr="009971F6">
        <w:t xml:space="preserve"> apresentada </w:t>
      </w:r>
      <w:r w:rsidR="000660FC" w:rsidRPr="009971F6">
        <w:t xml:space="preserve">na </w:t>
      </w:r>
      <w:r w:rsidR="00CE3056" w:rsidRPr="009971F6">
        <w:t>t</w:t>
      </w:r>
      <w:r w:rsidRPr="009971F6">
        <w:t xml:space="preserve">abela 2.  A </w:t>
      </w:r>
      <w:r w:rsidR="00CE3056" w:rsidRPr="009971F6">
        <w:t>t</w:t>
      </w:r>
      <w:r w:rsidR="000660FC" w:rsidRPr="009971F6">
        <w:t>abela 2 apresenta</w:t>
      </w:r>
      <w:r w:rsidRPr="009971F6">
        <w:t xml:space="preserve"> a média municipal dos dados utilizados para os </w:t>
      </w:r>
      <w:r w:rsidRPr="009971F6">
        <w:lastRenderedPageBreak/>
        <w:t>anos de 2005 a 2020</w:t>
      </w:r>
      <w:r w:rsidR="00D947FE" w:rsidRPr="009971F6">
        <w:t>, tendo sido excluídos os municípios que</w:t>
      </w:r>
      <w:r w:rsidR="00AB7AEE" w:rsidRPr="009971F6">
        <w:t xml:space="preserve"> </w:t>
      </w:r>
      <w:r w:rsidR="00D947FE" w:rsidRPr="009971F6">
        <w:t xml:space="preserve">apresentaram </w:t>
      </w:r>
      <w:r w:rsidR="00086262" w:rsidRPr="009971F6">
        <w:t>valor zero</w:t>
      </w:r>
      <w:r w:rsidR="00D947FE" w:rsidRPr="009971F6">
        <w:t xml:space="preserve"> em </w:t>
      </w:r>
      <w:r w:rsidR="00086262" w:rsidRPr="009971F6">
        <w:t>algum dos anos</w:t>
      </w:r>
      <w:r w:rsidR="00AB7AEE" w:rsidRPr="009971F6">
        <w:t xml:space="preserve"> da amostra</w:t>
      </w:r>
      <w:r w:rsidR="00D947FE" w:rsidRPr="009971F6">
        <w:t>.</w:t>
      </w:r>
    </w:p>
    <w:p w14:paraId="3B1835E7" w14:textId="77777777" w:rsidR="00B53EED" w:rsidRPr="009971F6" w:rsidRDefault="00B53EED" w:rsidP="00D3677A">
      <w:pPr>
        <w:spacing w:line="360" w:lineRule="auto"/>
        <w:ind w:firstLine="851"/>
        <w:jc w:val="both"/>
        <w:rPr>
          <w:bCs/>
        </w:rPr>
      </w:pPr>
    </w:p>
    <w:p w14:paraId="100C3E2C" w14:textId="6AFC1C0D" w:rsidR="00DC2A9A" w:rsidRPr="009971F6" w:rsidRDefault="00AD4C37" w:rsidP="00D3677A">
      <w:pPr>
        <w:pStyle w:val="TextoCorridoABNT"/>
        <w:ind w:firstLine="0"/>
        <w:jc w:val="left"/>
      </w:pPr>
      <w:r w:rsidRPr="009971F6">
        <w:rPr>
          <w:b/>
          <w:bCs/>
        </w:rPr>
        <w:t>Tabela</w:t>
      </w:r>
      <w:r w:rsidR="00B53EED" w:rsidRPr="009971F6">
        <w:rPr>
          <w:b/>
          <w:bCs/>
        </w:rPr>
        <w:t xml:space="preserve"> 2</w:t>
      </w:r>
      <w:r w:rsidR="00B53EED" w:rsidRPr="009971F6">
        <w:t xml:space="preserve"> – Estatísticas descritivas das variáveis do modelo econométrico</w:t>
      </w:r>
    </w:p>
    <w:tbl>
      <w:tblPr>
        <w:tblW w:w="8960" w:type="dxa"/>
        <w:tblCellMar>
          <w:left w:w="70" w:type="dxa"/>
          <w:right w:w="70" w:type="dxa"/>
        </w:tblCellMar>
        <w:tblLook w:val="04A0" w:firstRow="1" w:lastRow="0" w:firstColumn="1" w:lastColumn="0" w:noHBand="0" w:noVBand="1"/>
      </w:tblPr>
      <w:tblGrid>
        <w:gridCol w:w="2977"/>
        <w:gridCol w:w="1134"/>
        <w:gridCol w:w="992"/>
        <w:gridCol w:w="1480"/>
        <w:gridCol w:w="1031"/>
        <w:gridCol w:w="1346"/>
      </w:tblGrid>
      <w:tr w:rsidR="00DC2A9A" w:rsidRPr="009971F6" w14:paraId="2D957E40" w14:textId="77777777" w:rsidTr="00F868D5">
        <w:trPr>
          <w:trHeight w:val="632"/>
        </w:trPr>
        <w:tc>
          <w:tcPr>
            <w:tcW w:w="2977" w:type="dxa"/>
            <w:tcBorders>
              <w:top w:val="single" w:sz="4" w:space="0" w:color="auto"/>
              <w:left w:val="nil"/>
              <w:bottom w:val="single" w:sz="4" w:space="0" w:color="auto"/>
              <w:right w:val="nil"/>
            </w:tcBorders>
            <w:shd w:val="clear" w:color="auto" w:fill="auto"/>
            <w:noWrap/>
            <w:vAlign w:val="center"/>
            <w:hideMark/>
          </w:tcPr>
          <w:p w14:paraId="2B794976" w14:textId="77777777" w:rsidR="00DC2A9A" w:rsidRPr="009971F6" w:rsidRDefault="00DC2A9A" w:rsidP="00D3677A">
            <w:pPr>
              <w:spacing w:line="360" w:lineRule="auto"/>
              <w:rPr>
                <w:color w:val="000000"/>
              </w:rPr>
            </w:pPr>
            <w:r w:rsidRPr="009971F6">
              <w:rPr>
                <w:color w:val="000000"/>
              </w:rPr>
              <w:t xml:space="preserve">Variável </w:t>
            </w:r>
          </w:p>
        </w:tc>
        <w:tc>
          <w:tcPr>
            <w:tcW w:w="1134" w:type="dxa"/>
            <w:tcBorders>
              <w:top w:val="single" w:sz="4" w:space="0" w:color="auto"/>
              <w:left w:val="nil"/>
              <w:bottom w:val="single" w:sz="4" w:space="0" w:color="auto"/>
              <w:right w:val="nil"/>
            </w:tcBorders>
            <w:shd w:val="clear" w:color="auto" w:fill="auto"/>
            <w:vAlign w:val="center"/>
            <w:hideMark/>
          </w:tcPr>
          <w:p w14:paraId="6703F474" w14:textId="7D745B91" w:rsidR="00DC2A9A" w:rsidRPr="009971F6" w:rsidRDefault="00DC2A9A" w:rsidP="00D3677A">
            <w:pPr>
              <w:spacing w:line="360" w:lineRule="auto"/>
              <w:jc w:val="center"/>
              <w:rPr>
                <w:color w:val="000000"/>
              </w:rPr>
            </w:pPr>
            <w:r w:rsidRPr="009971F6">
              <w:rPr>
                <w:color w:val="000000"/>
              </w:rPr>
              <w:t>Média</w:t>
            </w:r>
          </w:p>
        </w:tc>
        <w:tc>
          <w:tcPr>
            <w:tcW w:w="992" w:type="dxa"/>
            <w:tcBorders>
              <w:top w:val="single" w:sz="4" w:space="0" w:color="auto"/>
              <w:left w:val="nil"/>
              <w:bottom w:val="single" w:sz="4" w:space="0" w:color="auto"/>
              <w:right w:val="nil"/>
            </w:tcBorders>
            <w:shd w:val="clear" w:color="auto" w:fill="auto"/>
            <w:vAlign w:val="center"/>
            <w:hideMark/>
          </w:tcPr>
          <w:p w14:paraId="1DC5F603" w14:textId="6979FF5A" w:rsidR="00DC2A9A" w:rsidRPr="009971F6" w:rsidRDefault="00DC2A9A" w:rsidP="00D3677A">
            <w:pPr>
              <w:spacing w:line="360" w:lineRule="auto"/>
              <w:jc w:val="center"/>
              <w:rPr>
                <w:color w:val="000000"/>
              </w:rPr>
            </w:pPr>
            <w:r w:rsidRPr="009971F6">
              <w:rPr>
                <w:color w:val="000000"/>
              </w:rPr>
              <w:t>Desvio Padrão</w:t>
            </w:r>
          </w:p>
        </w:tc>
        <w:tc>
          <w:tcPr>
            <w:tcW w:w="1480" w:type="dxa"/>
            <w:tcBorders>
              <w:top w:val="single" w:sz="4" w:space="0" w:color="auto"/>
              <w:left w:val="nil"/>
              <w:bottom w:val="single" w:sz="4" w:space="0" w:color="auto"/>
              <w:right w:val="nil"/>
            </w:tcBorders>
            <w:shd w:val="clear" w:color="auto" w:fill="auto"/>
            <w:vAlign w:val="center"/>
            <w:hideMark/>
          </w:tcPr>
          <w:p w14:paraId="4E7B8BD5" w14:textId="7FDECA4D" w:rsidR="00DC2A9A" w:rsidRPr="009971F6" w:rsidRDefault="00DC2A9A" w:rsidP="00D3677A">
            <w:pPr>
              <w:spacing w:line="360" w:lineRule="auto"/>
              <w:jc w:val="center"/>
              <w:rPr>
                <w:color w:val="000000"/>
              </w:rPr>
            </w:pPr>
            <w:r w:rsidRPr="009971F6">
              <w:rPr>
                <w:color w:val="000000"/>
              </w:rPr>
              <w:t>Coeficiente de variação</w:t>
            </w:r>
          </w:p>
        </w:tc>
        <w:tc>
          <w:tcPr>
            <w:tcW w:w="1031" w:type="dxa"/>
            <w:tcBorders>
              <w:top w:val="single" w:sz="4" w:space="0" w:color="auto"/>
              <w:left w:val="nil"/>
              <w:bottom w:val="single" w:sz="4" w:space="0" w:color="auto"/>
              <w:right w:val="nil"/>
            </w:tcBorders>
            <w:shd w:val="clear" w:color="auto" w:fill="auto"/>
            <w:vAlign w:val="center"/>
            <w:hideMark/>
          </w:tcPr>
          <w:p w14:paraId="74B053CD" w14:textId="2BF329D7" w:rsidR="00DC2A9A" w:rsidRPr="009971F6" w:rsidRDefault="00DC2A9A" w:rsidP="00D3677A">
            <w:pPr>
              <w:spacing w:line="360" w:lineRule="auto"/>
              <w:jc w:val="center"/>
              <w:rPr>
                <w:color w:val="000000"/>
              </w:rPr>
            </w:pPr>
            <w:r w:rsidRPr="009971F6">
              <w:rPr>
                <w:color w:val="000000"/>
              </w:rPr>
              <w:t>Mínimo</w:t>
            </w:r>
          </w:p>
        </w:tc>
        <w:tc>
          <w:tcPr>
            <w:tcW w:w="1346" w:type="dxa"/>
            <w:tcBorders>
              <w:top w:val="single" w:sz="4" w:space="0" w:color="auto"/>
              <w:left w:val="nil"/>
              <w:bottom w:val="single" w:sz="4" w:space="0" w:color="auto"/>
              <w:right w:val="nil"/>
            </w:tcBorders>
            <w:shd w:val="clear" w:color="auto" w:fill="auto"/>
            <w:vAlign w:val="center"/>
            <w:hideMark/>
          </w:tcPr>
          <w:p w14:paraId="2B8BCF1E" w14:textId="48915BBC" w:rsidR="00DC2A9A" w:rsidRPr="009971F6" w:rsidRDefault="00DC2A9A" w:rsidP="00D3677A">
            <w:pPr>
              <w:spacing w:line="360" w:lineRule="auto"/>
              <w:jc w:val="center"/>
              <w:rPr>
                <w:color w:val="000000"/>
              </w:rPr>
            </w:pPr>
            <w:r w:rsidRPr="009971F6">
              <w:rPr>
                <w:color w:val="000000"/>
              </w:rPr>
              <w:t>Máximo</w:t>
            </w:r>
          </w:p>
        </w:tc>
      </w:tr>
      <w:tr w:rsidR="00DC2A9A" w:rsidRPr="009971F6" w14:paraId="19CE60D4" w14:textId="77777777" w:rsidTr="00F868D5">
        <w:trPr>
          <w:trHeight w:val="315"/>
        </w:trPr>
        <w:tc>
          <w:tcPr>
            <w:tcW w:w="2977" w:type="dxa"/>
            <w:tcBorders>
              <w:top w:val="nil"/>
              <w:left w:val="nil"/>
              <w:bottom w:val="nil"/>
              <w:right w:val="nil"/>
            </w:tcBorders>
            <w:shd w:val="clear" w:color="auto" w:fill="auto"/>
            <w:noWrap/>
            <w:vAlign w:val="center"/>
            <w:hideMark/>
          </w:tcPr>
          <w:p w14:paraId="5B193A9C" w14:textId="77777777" w:rsidR="00DC2A9A" w:rsidRPr="009971F6" w:rsidRDefault="00DC2A9A" w:rsidP="00D3677A">
            <w:pPr>
              <w:spacing w:line="360" w:lineRule="auto"/>
              <w:rPr>
                <w:color w:val="000000"/>
              </w:rPr>
            </w:pPr>
            <w:r w:rsidRPr="009971F6">
              <w:rPr>
                <w:color w:val="000000"/>
              </w:rPr>
              <w:t xml:space="preserve"> Proporção de floresta </w:t>
            </w:r>
          </w:p>
        </w:tc>
        <w:tc>
          <w:tcPr>
            <w:tcW w:w="1134" w:type="dxa"/>
            <w:tcBorders>
              <w:top w:val="nil"/>
              <w:left w:val="nil"/>
              <w:bottom w:val="nil"/>
              <w:right w:val="nil"/>
            </w:tcBorders>
            <w:shd w:val="clear" w:color="auto" w:fill="auto"/>
            <w:noWrap/>
            <w:vAlign w:val="bottom"/>
            <w:hideMark/>
          </w:tcPr>
          <w:p w14:paraId="71EA58F2" w14:textId="77777777" w:rsidR="00DC2A9A" w:rsidRPr="009971F6" w:rsidRDefault="00DC2A9A" w:rsidP="00D3677A">
            <w:pPr>
              <w:spacing w:line="360" w:lineRule="auto"/>
              <w:jc w:val="center"/>
              <w:rPr>
                <w:color w:val="000000"/>
              </w:rPr>
            </w:pPr>
            <w:r w:rsidRPr="009971F6">
              <w:rPr>
                <w:color w:val="000000"/>
              </w:rPr>
              <w:t>0,2675</w:t>
            </w:r>
          </w:p>
        </w:tc>
        <w:tc>
          <w:tcPr>
            <w:tcW w:w="992" w:type="dxa"/>
            <w:tcBorders>
              <w:top w:val="nil"/>
              <w:left w:val="nil"/>
              <w:bottom w:val="nil"/>
              <w:right w:val="nil"/>
            </w:tcBorders>
            <w:shd w:val="clear" w:color="auto" w:fill="auto"/>
            <w:noWrap/>
            <w:vAlign w:val="bottom"/>
            <w:hideMark/>
          </w:tcPr>
          <w:p w14:paraId="466339CB" w14:textId="77777777" w:rsidR="00DC2A9A" w:rsidRPr="009971F6" w:rsidRDefault="00DC2A9A" w:rsidP="00D3677A">
            <w:pPr>
              <w:spacing w:line="360" w:lineRule="auto"/>
              <w:jc w:val="center"/>
              <w:rPr>
                <w:color w:val="000000"/>
              </w:rPr>
            </w:pPr>
            <w:r w:rsidRPr="009971F6">
              <w:rPr>
                <w:color w:val="000000"/>
              </w:rPr>
              <w:t>0,2895</w:t>
            </w:r>
          </w:p>
        </w:tc>
        <w:tc>
          <w:tcPr>
            <w:tcW w:w="1480" w:type="dxa"/>
            <w:tcBorders>
              <w:top w:val="nil"/>
              <w:left w:val="nil"/>
              <w:bottom w:val="nil"/>
              <w:right w:val="nil"/>
            </w:tcBorders>
            <w:shd w:val="clear" w:color="auto" w:fill="auto"/>
            <w:noWrap/>
            <w:vAlign w:val="bottom"/>
            <w:hideMark/>
          </w:tcPr>
          <w:p w14:paraId="67AD0094" w14:textId="77777777" w:rsidR="00DC2A9A" w:rsidRPr="009971F6" w:rsidRDefault="00DC2A9A" w:rsidP="00D3677A">
            <w:pPr>
              <w:spacing w:line="360" w:lineRule="auto"/>
              <w:jc w:val="center"/>
              <w:rPr>
                <w:color w:val="000000"/>
              </w:rPr>
            </w:pPr>
            <w:r w:rsidRPr="009971F6">
              <w:rPr>
                <w:color w:val="000000"/>
              </w:rPr>
              <w:t>1,0820</w:t>
            </w:r>
          </w:p>
        </w:tc>
        <w:tc>
          <w:tcPr>
            <w:tcW w:w="1031" w:type="dxa"/>
            <w:tcBorders>
              <w:top w:val="nil"/>
              <w:left w:val="nil"/>
              <w:bottom w:val="nil"/>
              <w:right w:val="nil"/>
            </w:tcBorders>
            <w:shd w:val="clear" w:color="auto" w:fill="auto"/>
            <w:noWrap/>
            <w:vAlign w:val="bottom"/>
            <w:hideMark/>
          </w:tcPr>
          <w:p w14:paraId="72FC13D1" w14:textId="77777777" w:rsidR="00DC2A9A" w:rsidRPr="009971F6" w:rsidRDefault="00DC2A9A" w:rsidP="00D3677A">
            <w:pPr>
              <w:spacing w:line="360" w:lineRule="auto"/>
              <w:jc w:val="center"/>
              <w:rPr>
                <w:color w:val="000000"/>
              </w:rPr>
            </w:pPr>
            <w:r w:rsidRPr="009971F6">
              <w:rPr>
                <w:color w:val="000000"/>
              </w:rPr>
              <w:t>0,0000</w:t>
            </w:r>
          </w:p>
        </w:tc>
        <w:tc>
          <w:tcPr>
            <w:tcW w:w="1346" w:type="dxa"/>
            <w:tcBorders>
              <w:top w:val="nil"/>
              <w:left w:val="nil"/>
              <w:bottom w:val="nil"/>
              <w:right w:val="nil"/>
            </w:tcBorders>
            <w:shd w:val="clear" w:color="auto" w:fill="auto"/>
            <w:noWrap/>
            <w:vAlign w:val="bottom"/>
            <w:hideMark/>
          </w:tcPr>
          <w:p w14:paraId="4B9121E6" w14:textId="77777777" w:rsidR="00DC2A9A" w:rsidRPr="009971F6" w:rsidRDefault="00DC2A9A" w:rsidP="00D3677A">
            <w:pPr>
              <w:spacing w:line="360" w:lineRule="auto"/>
              <w:jc w:val="center"/>
              <w:rPr>
                <w:color w:val="000000"/>
              </w:rPr>
            </w:pPr>
            <w:r w:rsidRPr="009971F6">
              <w:rPr>
                <w:color w:val="000000"/>
              </w:rPr>
              <w:t>0,9908</w:t>
            </w:r>
          </w:p>
        </w:tc>
      </w:tr>
      <w:tr w:rsidR="00DC2A9A" w:rsidRPr="009971F6" w14:paraId="229DF1C7" w14:textId="77777777" w:rsidTr="00F868D5">
        <w:trPr>
          <w:trHeight w:val="315"/>
        </w:trPr>
        <w:tc>
          <w:tcPr>
            <w:tcW w:w="2977" w:type="dxa"/>
            <w:tcBorders>
              <w:top w:val="nil"/>
              <w:left w:val="nil"/>
              <w:bottom w:val="nil"/>
              <w:right w:val="nil"/>
            </w:tcBorders>
            <w:shd w:val="clear" w:color="auto" w:fill="auto"/>
            <w:noWrap/>
            <w:vAlign w:val="center"/>
            <w:hideMark/>
          </w:tcPr>
          <w:p w14:paraId="1D656A8D" w14:textId="77777777" w:rsidR="00DC2A9A" w:rsidRPr="009971F6" w:rsidRDefault="00DC2A9A" w:rsidP="00D3677A">
            <w:pPr>
              <w:spacing w:line="360" w:lineRule="auto"/>
              <w:rPr>
                <w:color w:val="000000"/>
              </w:rPr>
            </w:pPr>
            <w:r w:rsidRPr="009971F6">
              <w:rPr>
                <w:color w:val="000000"/>
              </w:rPr>
              <w:t xml:space="preserve"> Proporção PIB Agrícola </w:t>
            </w:r>
          </w:p>
        </w:tc>
        <w:tc>
          <w:tcPr>
            <w:tcW w:w="1134" w:type="dxa"/>
            <w:tcBorders>
              <w:top w:val="nil"/>
              <w:left w:val="nil"/>
              <w:bottom w:val="nil"/>
              <w:right w:val="nil"/>
            </w:tcBorders>
            <w:shd w:val="clear" w:color="auto" w:fill="auto"/>
            <w:noWrap/>
            <w:vAlign w:val="bottom"/>
            <w:hideMark/>
          </w:tcPr>
          <w:p w14:paraId="56B56C47" w14:textId="77777777" w:rsidR="00DC2A9A" w:rsidRPr="009971F6" w:rsidRDefault="00DC2A9A" w:rsidP="00D3677A">
            <w:pPr>
              <w:spacing w:line="360" w:lineRule="auto"/>
              <w:jc w:val="center"/>
              <w:rPr>
                <w:color w:val="000000"/>
              </w:rPr>
            </w:pPr>
            <w:r w:rsidRPr="009971F6">
              <w:rPr>
                <w:color w:val="000000"/>
              </w:rPr>
              <w:t>0,2602</w:t>
            </w:r>
          </w:p>
        </w:tc>
        <w:tc>
          <w:tcPr>
            <w:tcW w:w="992" w:type="dxa"/>
            <w:tcBorders>
              <w:top w:val="nil"/>
              <w:left w:val="nil"/>
              <w:bottom w:val="nil"/>
              <w:right w:val="nil"/>
            </w:tcBorders>
            <w:shd w:val="clear" w:color="auto" w:fill="auto"/>
            <w:noWrap/>
            <w:vAlign w:val="bottom"/>
            <w:hideMark/>
          </w:tcPr>
          <w:p w14:paraId="0907BD75" w14:textId="77777777" w:rsidR="00DC2A9A" w:rsidRPr="009971F6" w:rsidRDefault="00DC2A9A" w:rsidP="00D3677A">
            <w:pPr>
              <w:spacing w:line="360" w:lineRule="auto"/>
              <w:jc w:val="center"/>
              <w:rPr>
                <w:color w:val="000000"/>
              </w:rPr>
            </w:pPr>
            <w:r w:rsidRPr="009971F6">
              <w:rPr>
                <w:color w:val="000000"/>
              </w:rPr>
              <w:t>0,1578</w:t>
            </w:r>
          </w:p>
        </w:tc>
        <w:tc>
          <w:tcPr>
            <w:tcW w:w="1480" w:type="dxa"/>
            <w:tcBorders>
              <w:top w:val="nil"/>
              <w:left w:val="nil"/>
              <w:bottom w:val="nil"/>
              <w:right w:val="nil"/>
            </w:tcBorders>
            <w:shd w:val="clear" w:color="auto" w:fill="auto"/>
            <w:noWrap/>
            <w:vAlign w:val="bottom"/>
            <w:hideMark/>
          </w:tcPr>
          <w:p w14:paraId="08FBE6EE" w14:textId="77777777" w:rsidR="00DC2A9A" w:rsidRPr="009971F6" w:rsidRDefault="00DC2A9A" w:rsidP="00D3677A">
            <w:pPr>
              <w:spacing w:line="360" w:lineRule="auto"/>
              <w:jc w:val="center"/>
              <w:rPr>
                <w:color w:val="000000"/>
              </w:rPr>
            </w:pPr>
            <w:r w:rsidRPr="009971F6">
              <w:rPr>
                <w:color w:val="000000"/>
              </w:rPr>
              <w:t>0,6065</w:t>
            </w:r>
          </w:p>
        </w:tc>
        <w:tc>
          <w:tcPr>
            <w:tcW w:w="1031" w:type="dxa"/>
            <w:tcBorders>
              <w:top w:val="nil"/>
              <w:left w:val="nil"/>
              <w:bottom w:val="nil"/>
              <w:right w:val="nil"/>
            </w:tcBorders>
            <w:shd w:val="clear" w:color="auto" w:fill="auto"/>
            <w:noWrap/>
            <w:vAlign w:val="bottom"/>
            <w:hideMark/>
          </w:tcPr>
          <w:p w14:paraId="42D6FF7E" w14:textId="77777777" w:rsidR="00DC2A9A" w:rsidRPr="009971F6" w:rsidRDefault="00DC2A9A" w:rsidP="00D3677A">
            <w:pPr>
              <w:spacing w:line="360" w:lineRule="auto"/>
              <w:jc w:val="center"/>
              <w:rPr>
                <w:color w:val="000000"/>
              </w:rPr>
            </w:pPr>
            <w:r w:rsidRPr="009971F6">
              <w:rPr>
                <w:color w:val="000000"/>
              </w:rPr>
              <w:t>0,0008</w:t>
            </w:r>
          </w:p>
        </w:tc>
        <w:tc>
          <w:tcPr>
            <w:tcW w:w="1346" w:type="dxa"/>
            <w:tcBorders>
              <w:top w:val="nil"/>
              <w:left w:val="nil"/>
              <w:bottom w:val="nil"/>
              <w:right w:val="nil"/>
            </w:tcBorders>
            <w:shd w:val="clear" w:color="auto" w:fill="auto"/>
            <w:noWrap/>
            <w:vAlign w:val="bottom"/>
            <w:hideMark/>
          </w:tcPr>
          <w:p w14:paraId="4D14661B" w14:textId="77777777" w:rsidR="00DC2A9A" w:rsidRPr="009971F6" w:rsidRDefault="00DC2A9A" w:rsidP="00D3677A">
            <w:pPr>
              <w:spacing w:line="360" w:lineRule="auto"/>
              <w:jc w:val="center"/>
              <w:rPr>
                <w:color w:val="000000"/>
              </w:rPr>
            </w:pPr>
            <w:r w:rsidRPr="009971F6">
              <w:rPr>
                <w:color w:val="000000"/>
              </w:rPr>
              <w:t>0,8856</w:t>
            </w:r>
          </w:p>
        </w:tc>
      </w:tr>
      <w:tr w:rsidR="00DC2A9A" w:rsidRPr="009971F6" w14:paraId="038D80F3" w14:textId="77777777" w:rsidTr="00F868D5">
        <w:trPr>
          <w:trHeight w:val="315"/>
        </w:trPr>
        <w:tc>
          <w:tcPr>
            <w:tcW w:w="2977" w:type="dxa"/>
            <w:tcBorders>
              <w:top w:val="nil"/>
              <w:left w:val="nil"/>
              <w:bottom w:val="nil"/>
              <w:right w:val="nil"/>
            </w:tcBorders>
            <w:shd w:val="clear" w:color="auto" w:fill="auto"/>
            <w:noWrap/>
            <w:vAlign w:val="center"/>
            <w:hideMark/>
          </w:tcPr>
          <w:p w14:paraId="20511C36" w14:textId="77777777" w:rsidR="00DC2A9A" w:rsidRPr="009971F6" w:rsidRDefault="00DC2A9A" w:rsidP="00D3677A">
            <w:pPr>
              <w:spacing w:line="360" w:lineRule="auto"/>
              <w:rPr>
                <w:color w:val="000000"/>
              </w:rPr>
            </w:pPr>
            <w:r w:rsidRPr="009971F6">
              <w:rPr>
                <w:color w:val="000000"/>
              </w:rPr>
              <w:t xml:space="preserve"> ln PIB per capita </w:t>
            </w:r>
          </w:p>
        </w:tc>
        <w:tc>
          <w:tcPr>
            <w:tcW w:w="1134" w:type="dxa"/>
            <w:tcBorders>
              <w:top w:val="nil"/>
              <w:left w:val="nil"/>
              <w:bottom w:val="nil"/>
              <w:right w:val="nil"/>
            </w:tcBorders>
            <w:shd w:val="clear" w:color="auto" w:fill="auto"/>
            <w:noWrap/>
            <w:vAlign w:val="bottom"/>
            <w:hideMark/>
          </w:tcPr>
          <w:p w14:paraId="62B410F1" w14:textId="77777777" w:rsidR="00DC2A9A" w:rsidRPr="009971F6" w:rsidRDefault="00DC2A9A" w:rsidP="00D3677A">
            <w:pPr>
              <w:spacing w:line="360" w:lineRule="auto"/>
              <w:jc w:val="center"/>
              <w:rPr>
                <w:color w:val="000000"/>
              </w:rPr>
            </w:pPr>
            <w:r w:rsidRPr="009971F6">
              <w:rPr>
                <w:color w:val="000000"/>
              </w:rPr>
              <w:t>2,6759</w:t>
            </w:r>
          </w:p>
        </w:tc>
        <w:tc>
          <w:tcPr>
            <w:tcW w:w="992" w:type="dxa"/>
            <w:tcBorders>
              <w:top w:val="nil"/>
              <w:left w:val="nil"/>
              <w:bottom w:val="nil"/>
              <w:right w:val="nil"/>
            </w:tcBorders>
            <w:shd w:val="clear" w:color="auto" w:fill="auto"/>
            <w:noWrap/>
            <w:vAlign w:val="bottom"/>
            <w:hideMark/>
          </w:tcPr>
          <w:p w14:paraId="30FAD8C6" w14:textId="77777777" w:rsidR="00DC2A9A" w:rsidRPr="009971F6" w:rsidRDefault="00DC2A9A" w:rsidP="00D3677A">
            <w:pPr>
              <w:spacing w:line="360" w:lineRule="auto"/>
              <w:jc w:val="center"/>
              <w:rPr>
                <w:color w:val="000000"/>
              </w:rPr>
            </w:pPr>
            <w:r w:rsidRPr="009971F6">
              <w:rPr>
                <w:color w:val="000000"/>
              </w:rPr>
              <w:t>0,6827</w:t>
            </w:r>
          </w:p>
        </w:tc>
        <w:tc>
          <w:tcPr>
            <w:tcW w:w="1480" w:type="dxa"/>
            <w:tcBorders>
              <w:top w:val="nil"/>
              <w:left w:val="nil"/>
              <w:bottom w:val="nil"/>
              <w:right w:val="nil"/>
            </w:tcBorders>
            <w:shd w:val="clear" w:color="auto" w:fill="auto"/>
            <w:noWrap/>
            <w:vAlign w:val="bottom"/>
            <w:hideMark/>
          </w:tcPr>
          <w:p w14:paraId="225AFB00" w14:textId="77777777" w:rsidR="00DC2A9A" w:rsidRPr="009971F6" w:rsidRDefault="00DC2A9A" w:rsidP="00D3677A">
            <w:pPr>
              <w:spacing w:line="360" w:lineRule="auto"/>
              <w:jc w:val="center"/>
              <w:rPr>
                <w:color w:val="000000"/>
              </w:rPr>
            </w:pPr>
            <w:r w:rsidRPr="009971F6">
              <w:rPr>
                <w:color w:val="000000"/>
              </w:rPr>
              <w:t>0,2551</w:t>
            </w:r>
          </w:p>
        </w:tc>
        <w:tc>
          <w:tcPr>
            <w:tcW w:w="1031" w:type="dxa"/>
            <w:tcBorders>
              <w:top w:val="nil"/>
              <w:left w:val="nil"/>
              <w:bottom w:val="nil"/>
              <w:right w:val="nil"/>
            </w:tcBorders>
            <w:shd w:val="clear" w:color="auto" w:fill="auto"/>
            <w:noWrap/>
            <w:vAlign w:val="bottom"/>
            <w:hideMark/>
          </w:tcPr>
          <w:p w14:paraId="175BE507" w14:textId="77777777" w:rsidR="00DC2A9A" w:rsidRPr="009971F6" w:rsidRDefault="00DC2A9A" w:rsidP="00D3677A">
            <w:pPr>
              <w:spacing w:line="360" w:lineRule="auto"/>
              <w:jc w:val="center"/>
              <w:rPr>
                <w:color w:val="000000"/>
              </w:rPr>
            </w:pPr>
            <w:r w:rsidRPr="009971F6">
              <w:rPr>
                <w:color w:val="000000"/>
              </w:rPr>
              <w:t>1,1107</w:t>
            </w:r>
          </w:p>
        </w:tc>
        <w:tc>
          <w:tcPr>
            <w:tcW w:w="1346" w:type="dxa"/>
            <w:tcBorders>
              <w:top w:val="nil"/>
              <w:left w:val="nil"/>
              <w:bottom w:val="nil"/>
              <w:right w:val="nil"/>
            </w:tcBorders>
            <w:shd w:val="clear" w:color="auto" w:fill="auto"/>
            <w:noWrap/>
            <w:vAlign w:val="bottom"/>
            <w:hideMark/>
          </w:tcPr>
          <w:p w14:paraId="3B6DEF98" w14:textId="77777777" w:rsidR="00DC2A9A" w:rsidRPr="009971F6" w:rsidRDefault="00DC2A9A" w:rsidP="00D3677A">
            <w:pPr>
              <w:spacing w:line="360" w:lineRule="auto"/>
              <w:jc w:val="center"/>
              <w:rPr>
                <w:color w:val="000000"/>
              </w:rPr>
            </w:pPr>
            <w:r w:rsidRPr="009971F6">
              <w:rPr>
                <w:color w:val="000000"/>
              </w:rPr>
              <w:t>6,3820</w:t>
            </w:r>
          </w:p>
        </w:tc>
      </w:tr>
      <w:tr w:rsidR="00DC2A9A" w:rsidRPr="009971F6" w14:paraId="16A9EC4E" w14:textId="77777777" w:rsidTr="00F868D5">
        <w:trPr>
          <w:trHeight w:val="315"/>
        </w:trPr>
        <w:tc>
          <w:tcPr>
            <w:tcW w:w="2977" w:type="dxa"/>
            <w:tcBorders>
              <w:top w:val="nil"/>
              <w:left w:val="nil"/>
              <w:bottom w:val="nil"/>
              <w:right w:val="nil"/>
            </w:tcBorders>
            <w:shd w:val="clear" w:color="auto" w:fill="auto"/>
            <w:noWrap/>
            <w:vAlign w:val="center"/>
            <w:hideMark/>
          </w:tcPr>
          <w:p w14:paraId="66989EE0" w14:textId="77777777" w:rsidR="00DC2A9A" w:rsidRPr="009971F6" w:rsidRDefault="00DC2A9A" w:rsidP="00D3677A">
            <w:pPr>
              <w:spacing w:line="360" w:lineRule="auto"/>
              <w:rPr>
                <w:color w:val="000000"/>
              </w:rPr>
            </w:pPr>
            <w:r w:rsidRPr="009971F6">
              <w:rPr>
                <w:color w:val="000000"/>
              </w:rPr>
              <w:t xml:space="preserve"> ln Densidade Demográfica </w:t>
            </w:r>
          </w:p>
        </w:tc>
        <w:tc>
          <w:tcPr>
            <w:tcW w:w="1134" w:type="dxa"/>
            <w:tcBorders>
              <w:top w:val="nil"/>
              <w:left w:val="nil"/>
              <w:bottom w:val="nil"/>
              <w:right w:val="nil"/>
            </w:tcBorders>
            <w:shd w:val="clear" w:color="auto" w:fill="auto"/>
            <w:noWrap/>
            <w:vAlign w:val="bottom"/>
            <w:hideMark/>
          </w:tcPr>
          <w:p w14:paraId="0813E4D9" w14:textId="77777777" w:rsidR="00DC2A9A" w:rsidRPr="009971F6" w:rsidRDefault="00DC2A9A" w:rsidP="00D3677A">
            <w:pPr>
              <w:spacing w:line="360" w:lineRule="auto"/>
              <w:jc w:val="center"/>
              <w:rPr>
                <w:color w:val="000000"/>
              </w:rPr>
            </w:pPr>
            <w:r w:rsidRPr="009971F6">
              <w:rPr>
                <w:color w:val="000000"/>
              </w:rPr>
              <w:t>1,7658</w:t>
            </w:r>
          </w:p>
        </w:tc>
        <w:tc>
          <w:tcPr>
            <w:tcW w:w="992" w:type="dxa"/>
            <w:tcBorders>
              <w:top w:val="nil"/>
              <w:left w:val="nil"/>
              <w:bottom w:val="nil"/>
              <w:right w:val="nil"/>
            </w:tcBorders>
            <w:shd w:val="clear" w:color="auto" w:fill="auto"/>
            <w:noWrap/>
            <w:vAlign w:val="bottom"/>
            <w:hideMark/>
          </w:tcPr>
          <w:p w14:paraId="7E3F1AC4" w14:textId="77777777" w:rsidR="00DC2A9A" w:rsidRPr="009971F6" w:rsidRDefault="00DC2A9A" w:rsidP="00D3677A">
            <w:pPr>
              <w:spacing w:line="360" w:lineRule="auto"/>
              <w:jc w:val="center"/>
              <w:rPr>
                <w:color w:val="000000"/>
              </w:rPr>
            </w:pPr>
            <w:r w:rsidRPr="009971F6">
              <w:rPr>
                <w:color w:val="000000"/>
              </w:rPr>
              <w:t>1,4630</w:t>
            </w:r>
          </w:p>
        </w:tc>
        <w:tc>
          <w:tcPr>
            <w:tcW w:w="1480" w:type="dxa"/>
            <w:tcBorders>
              <w:top w:val="nil"/>
              <w:left w:val="nil"/>
              <w:bottom w:val="nil"/>
              <w:right w:val="nil"/>
            </w:tcBorders>
            <w:shd w:val="clear" w:color="auto" w:fill="auto"/>
            <w:noWrap/>
            <w:vAlign w:val="bottom"/>
            <w:hideMark/>
          </w:tcPr>
          <w:p w14:paraId="55F2CB69" w14:textId="77777777" w:rsidR="00DC2A9A" w:rsidRPr="009971F6" w:rsidRDefault="00DC2A9A" w:rsidP="00D3677A">
            <w:pPr>
              <w:spacing w:line="360" w:lineRule="auto"/>
              <w:jc w:val="center"/>
              <w:rPr>
                <w:color w:val="000000"/>
              </w:rPr>
            </w:pPr>
            <w:r w:rsidRPr="009971F6">
              <w:rPr>
                <w:color w:val="000000"/>
              </w:rPr>
              <w:t>0,8285</w:t>
            </w:r>
          </w:p>
        </w:tc>
        <w:tc>
          <w:tcPr>
            <w:tcW w:w="1031" w:type="dxa"/>
            <w:tcBorders>
              <w:top w:val="nil"/>
              <w:left w:val="nil"/>
              <w:bottom w:val="nil"/>
              <w:right w:val="nil"/>
            </w:tcBorders>
            <w:shd w:val="clear" w:color="auto" w:fill="auto"/>
            <w:noWrap/>
            <w:vAlign w:val="bottom"/>
            <w:hideMark/>
          </w:tcPr>
          <w:p w14:paraId="5E725EDF" w14:textId="77777777" w:rsidR="00DC2A9A" w:rsidRPr="009971F6" w:rsidRDefault="00DC2A9A" w:rsidP="00D3677A">
            <w:pPr>
              <w:spacing w:line="360" w:lineRule="auto"/>
              <w:jc w:val="center"/>
              <w:rPr>
                <w:color w:val="000000"/>
              </w:rPr>
            </w:pPr>
            <w:r w:rsidRPr="009971F6">
              <w:rPr>
                <w:color w:val="000000"/>
              </w:rPr>
              <w:t>-3,2414</w:t>
            </w:r>
          </w:p>
        </w:tc>
        <w:tc>
          <w:tcPr>
            <w:tcW w:w="1346" w:type="dxa"/>
            <w:tcBorders>
              <w:top w:val="nil"/>
              <w:left w:val="nil"/>
              <w:bottom w:val="nil"/>
              <w:right w:val="nil"/>
            </w:tcBorders>
            <w:shd w:val="clear" w:color="auto" w:fill="auto"/>
            <w:noWrap/>
            <w:vAlign w:val="bottom"/>
            <w:hideMark/>
          </w:tcPr>
          <w:p w14:paraId="64AE8825" w14:textId="77777777" w:rsidR="00DC2A9A" w:rsidRPr="009971F6" w:rsidRDefault="00DC2A9A" w:rsidP="00D3677A">
            <w:pPr>
              <w:spacing w:line="360" w:lineRule="auto"/>
              <w:jc w:val="center"/>
              <w:rPr>
                <w:color w:val="000000"/>
              </w:rPr>
            </w:pPr>
            <w:r w:rsidRPr="009971F6">
              <w:rPr>
                <w:color w:val="000000"/>
              </w:rPr>
              <w:t>7,9707</w:t>
            </w:r>
          </w:p>
        </w:tc>
      </w:tr>
      <w:tr w:rsidR="00DC2A9A" w:rsidRPr="009971F6" w14:paraId="2B90E28E" w14:textId="77777777" w:rsidTr="00F868D5">
        <w:trPr>
          <w:trHeight w:val="315"/>
        </w:trPr>
        <w:tc>
          <w:tcPr>
            <w:tcW w:w="2977" w:type="dxa"/>
            <w:tcBorders>
              <w:top w:val="nil"/>
              <w:left w:val="nil"/>
              <w:bottom w:val="single" w:sz="4" w:space="0" w:color="auto"/>
              <w:right w:val="nil"/>
            </w:tcBorders>
            <w:shd w:val="clear" w:color="auto" w:fill="auto"/>
            <w:noWrap/>
            <w:vAlign w:val="center"/>
            <w:hideMark/>
          </w:tcPr>
          <w:p w14:paraId="0FDB1F4A" w14:textId="77777777" w:rsidR="00DC2A9A" w:rsidRPr="009971F6" w:rsidRDefault="00DC2A9A" w:rsidP="00D3677A">
            <w:pPr>
              <w:spacing w:line="360" w:lineRule="auto"/>
              <w:rPr>
                <w:color w:val="000000"/>
              </w:rPr>
            </w:pPr>
            <w:r w:rsidRPr="009971F6">
              <w:rPr>
                <w:color w:val="000000"/>
              </w:rPr>
              <w:t xml:space="preserve"> ln valor médio de multa </w:t>
            </w:r>
          </w:p>
        </w:tc>
        <w:tc>
          <w:tcPr>
            <w:tcW w:w="1134" w:type="dxa"/>
            <w:tcBorders>
              <w:top w:val="nil"/>
              <w:left w:val="nil"/>
              <w:bottom w:val="single" w:sz="4" w:space="0" w:color="auto"/>
              <w:right w:val="nil"/>
            </w:tcBorders>
            <w:shd w:val="clear" w:color="auto" w:fill="auto"/>
            <w:noWrap/>
            <w:vAlign w:val="bottom"/>
            <w:hideMark/>
          </w:tcPr>
          <w:p w14:paraId="644C2123" w14:textId="77777777" w:rsidR="00DC2A9A" w:rsidRPr="009971F6" w:rsidRDefault="00DC2A9A" w:rsidP="00D3677A">
            <w:pPr>
              <w:spacing w:line="360" w:lineRule="auto"/>
              <w:jc w:val="center"/>
              <w:rPr>
                <w:color w:val="000000"/>
              </w:rPr>
            </w:pPr>
            <w:r w:rsidRPr="009971F6">
              <w:rPr>
                <w:color w:val="000000"/>
              </w:rPr>
              <w:t>0,1430</w:t>
            </w:r>
          </w:p>
        </w:tc>
        <w:tc>
          <w:tcPr>
            <w:tcW w:w="992" w:type="dxa"/>
            <w:tcBorders>
              <w:top w:val="nil"/>
              <w:left w:val="nil"/>
              <w:bottom w:val="single" w:sz="4" w:space="0" w:color="auto"/>
              <w:right w:val="nil"/>
            </w:tcBorders>
            <w:shd w:val="clear" w:color="auto" w:fill="auto"/>
            <w:noWrap/>
            <w:vAlign w:val="bottom"/>
            <w:hideMark/>
          </w:tcPr>
          <w:p w14:paraId="57A031F3" w14:textId="77777777" w:rsidR="00DC2A9A" w:rsidRPr="009971F6" w:rsidRDefault="00DC2A9A" w:rsidP="00D3677A">
            <w:pPr>
              <w:spacing w:line="360" w:lineRule="auto"/>
              <w:jc w:val="center"/>
              <w:rPr>
                <w:color w:val="000000"/>
              </w:rPr>
            </w:pPr>
            <w:r w:rsidRPr="009971F6">
              <w:rPr>
                <w:color w:val="000000"/>
              </w:rPr>
              <w:t>3,3854</w:t>
            </w:r>
          </w:p>
        </w:tc>
        <w:tc>
          <w:tcPr>
            <w:tcW w:w="1480" w:type="dxa"/>
            <w:tcBorders>
              <w:top w:val="nil"/>
              <w:left w:val="nil"/>
              <w:bottom w:val="single" w:sz="4" w:space="0" w:color="auto"/>
              <w:right w:val="nil"/>
            </w:tcBorders>
            <w:shd w:val="clear" w:color="auto" w:fill="auto"/>
            <w:noWrap/>
            <w:vAlign w:val="bottom"/>
            <w:hideMark/>
          </w:tcPr>
          <w:p w14:paraId="37A9293E" w14:textId="77777777" w:rsidR="00DC2A9A" w:rsidRPr="009971F6" w:rsidRDefault="00DC2A9A" w:rsidP="00D3677A">
            <w:pPr>
              <w:spacing w:line="360" w:lineRule="auto"/>
              <w:jc w:val="center"/>
              <w:rPr>
                <w:color w:val="000000"/>
              </w:rPr>
            </w:pPr>
            <w:r w:rsidRPr="009971F6">
              <w:rPr>
                <w:color w:val="000000"/>
              </w:rPr>
              <w:t>23,6809</w:t>
            </w:r>
          </w:p>
        </w:tc>
        <w:tc>
          <w:tcPr>
            <w:tcW w:w="1031" w:type="dxa"/>
            <w:tcBorders>
              <w:top w:val="nil"/>
              <w:left w:val="nil"/>
              <w:bottom w:val="single" w:sz="4" w:space="0" w:color="auto"/>
              <w:right w:val="nil"/>
            </w:tcBorders>
            <w:shd w:val="clear" w:color="auto" w:fill="auto"/>
            <w:noWrap/>
            <w:vAlign w:val="bottom"/>
            <w:hideMark/>
          </w:tcPr>
          <w:p w14:paraId="6FA013ED" w14:textId="77777777" w:rsidR="00DC2A9A" w:rsidRPr="009971F6" w:rsidRDefault="00DC2A9A" w:rsidP="00D3677A">
            <w:pPr>
              <w:spacing w:line="360" w:lineRule="auto"/>
              <w:jc w:val="center"/>
              <w:rPr>
                <w:color w:val="000000"/>
              </w:rPr>
            </w:pPr>
            <w:r w:rsidRPr="009971F6">
              <w:rPr>
                <w:color w:val="000000"/>
              </w:rPr>
              <w:t>-6,7782</w:t>
            </w:r>
          </w:p>
        </w:tc>
        <w:tc>
          <w:tcPr>
            <w:tcW w:w="1346" w:type="dxa"/>
            <w:tcBorders>
              <w:top w:val="nil"/>
              <w:left w:val="nil"/>
              <w:bottom w:val="single" w:sz="4" w:space="0" w:color="auto"/>
              <w:right w:val="nil"/>
            </w:tcBorders>
            <w:shd w:val="clear" w:color="auto" w:fill="auto"/>
            <w:noWrap/>
            <w:vAlign w:val="bottom"/>
            <w:hideMark/>
          </w:tcPr>
          <w:p w14:paraId="6B295438" w14:textId="77777777" w:rsidR="00DC2A9A" w:rsidRPr="009971F6" w:rsidRDefault="00DC2A9A" w:rsidP="00D3677A">
            <w:pPr>
              <w:spacing w:line="360" w:lineRule="auto"/>
              <w:jc w:val="center"/>
              <w:rPr>
                <w:color w:val="000000"/>
              </w:rPr>
            </w:pPr>
            <w:r w:rsidRPr="009971F6">
              <w:rPr>
                <w:color w:val="000000"/>
              </w:rPr>
              <w:t>18,1439</w:t>
            </w:r>
          </w:p>
        </w:tc>
      </w:tr>
    </w:tbl>
    <w:p w14:paraId="354BFA87" w14:textId="761CB60A" w:rsidR="00DC2A9A" w:rsidRPr="009971F6" w:rsidRDefault="00B53EED" w:rsidP="00D3677A">
      <w:pPr>
        <w:spacing w:line="360" w:lineRule="auto"/>
      </w:pPr>
      <w:r w:rsidRPr="009971F6">
        <w:t>Fonte: Resultados da pesquisa.</w:t>
      </w:r>
    </w:p>
    <w:p w14:paraId="568690B6" w14:textId="77777777" w:rsidR="00DC2A9A" w:rsidRPr="009971F6" w:rsidRDefault="00DC2A9A" w:rsidP="00D3677A">
      <w:pPr>
        <w:spacing w:line="360" w:lineRule="auto"/>
        <w:ind w:left="360"/>
        <w:jc w:val="both"/>
      </w:pPr>
    </w:p>
    <w:p w14:paraId="0EF13333" w14:textId="566EC6BE" w:rsidR="00F054FE" w:rsidRPr="009971F6" w:rsidRDefault="00B53EED" w:rsidP="00C66D74">
      <w:pPr>
        <w:pStyle w:val="TextoCorridoABNT"/>
      </w:pPr>
      <w:r w:rsidRPr="009971F6">
        <w:t xml:space="preserve">Á proporção de </w:t>
      </w:r>
      <w:r w:rsidR="00DA4260" w:rsidRPr="009971F6">
        <w:t xml:space="preserve">área coberta com </w:t>
      </w:r>
      <w:r w:rsidRPr="009971F6">
        <w:t>floresta</w:t>
      </w:r>
      <w:r w:rsidR="00DA4260" w:rsidRPr="009971F6">
        <w:t>s</w:t>
      </w:r>
      <w:r w:rsidRPr="009971F6">
        <w:t xml:space="preserve"> nos municípios </w:t>
      </w:r>
      <w:r w:rsidR="00DA4260" w:rsidRPr="009971F6">
        <w:t>é,</w:t>
      </w:r>
      <w:r w:rsidRPr="009971F6">
        <w:t xml:space="preserve"> em média, </w:t>
      </w:r>
      <w:r w:rsidR="00DA4260" w:rsidRPr="009971F6">
        <w:t xml:space="preserve">de </w:t>
      </w:r>
      <w:r w:rsidRPr="009971F6">
        <w:t xml:space="preserve">26,75% </w:t>
      </w:r>
      <w:r w:rsidR="00DA4260" w:rsidRPr="009971F6">
        <w:t>na</w:t>
      </w:r>
      <w:r w:rsidRPr="009971F6">
        <w:t xml:space="preserve"> Amazônia legal.</w:t>
      </w:r>
      <w:r w:rsidR="00FF7D0C" w:rsidRPr="009971F6">
        <w:t xml:space="preserve"> A distribuição </w:t>
      </w:r>
      <w:r w:rsidR="005C079C" w:rsidRPr="009971F6">
        <w:t xml:space="preserve">das áreas floresta ocorre </w:t>
      </w:r>
      <w:r w:rsidR="00FF7D0C" w:rsidRPr="009971F6">
        <w:t xml:space="preserve">de forma </w:t>
      </w:r>
      <w:r w:rsidR="005C079C" w:rsidRPr="009971F6">
        <w:t xml:space="preserve">bastante </w:t>
      </w:r>
      <w:r w:rsidR="00FF7D0C" w:rsidRPr="009971F6">
        <w:t xml:space="preserve">desigual, </w:t>
      </w:r>
      <w:r w:rsidR="005C079C" w:rsidRPr="009971F6">
        <w:t>havendo concentração</w:t>
      </w:r>
      <w:r w:rsidR="00FF7D0C" w:rsidRPr="009971F6">
        <w:t xml:space="preserve"> principalmente nos estados do </w:t>
      </w:r>
      <w:r w:rsidR="004E716A" w:rsidRPr="009971F6">
        <w:t xml:space="preserve">Amazonas </w:t>
      </w:r>
      <w:r w:rsidR="00FF7D0C" w:rsidRPr="009971F6">
        <w:t>e do Acre</w:t>
      </w:r>
      <w:r w:rsidR="00C66D74" w:rsidRPr="009971F6">
        <w:t xml:space="preserve">. </w:t>
      </w:r>
      <w:r w:rsidR="00FF7D0C" w:rsidRPr="009971F6">
        <w:t xml:space="preserve">As variáveis socioeconômicas são representadas pela proporção do PIB agrícola e pelo PIB </w:t>
      </w:r>
      <w:r w:rsidR="00FF7D0C" w:rsidRPr="009971F6">
        <w:rPr>
          <w:i/>
          <w:iCs/>
        </w:rPr>
        <w:t>per capita</w:t>
      </w:r>
      <w:r w:rsidR="00FF7D0C" w:rsidRPr="009971F6">
        <w:t xml:space="preserve">. O PIB agrícola representa, em média, 26% do valor </w:t>
      </w:r>
      <w:r w:rsidR="0030485F" w:rsidRPr="009971F6">
        <w:t>total</w:t>
      </w:r>
      <w:r w:rsidR="00FF7D0C" w:rsidRPr="009971F6">
        <w:t xml:space="preserve">. O PIB </w:t>
      </w:r>
      <w:r w:rsidR="00FF7D0C" w:rsidRPr="009971F6">
        <w:rPr>
          <w:i/>
          <w:iCs/>
        </w:rPr>
        <w:t>per capita</w:t>
      </w:r>
      <w:r w:rsidR="00FF7D0C" w:rsidRPr="009971F6">
        <w:t xml:space="preserve"> médio dos municípios foi de </w:t>
      </w:r>
      <w:r w:rsidR="004E716A" w:rsidRPr="009971F6">
        <w:t>R$</w:t>
      </w:r>
      <w:r w:rsidR="00FF7D0C" w:rsidRPr="009971F6">
        <w:t>19,32 mil anuais.</w:t>
      </w:r>
      <w:r w:rsidR="00C66D74" w:rsidRPr="009971F6">
        <w:t xml:space="preserve"> </w:t>
      </w:r>
      <w:r w:rsidR="00FF7D0C" w:rsidRPr="009971F6">
        <w:t xml:space="preserve">A densidade demográfica média foi de </w:t>
      </w:r>
      <w:r w:rsidR="002F5D9F" w:rsidRPr="009971F6">
        <w:t>24,54</w:t>
      </w:r>
      <w:r w:rsidR="001410D1" w:rsidRPr="009971F6">
        <w:t xml:space="preserve"> indivíduos</w:t>
      </w:r>
      <w:r w:rsidR="002F5D9F" w:rsidRPr="009971F6">
        <w:t xml:space="preserve"> por km² de território </w:t>
      </w:r>
      <w:r w:rsidR="005049F2" w:rsidRPr="009971F6">
        <w:t>n</w:t>
      </w:r>
      <w:r w:rsidR="002F5D9F" w:rsidRPr="009971F6">
        <w:t xml:space="preserve">a Amazônia Legal. O Valor médio das multas </w:t>
      </w:r>
      <w:r w:rsidR="005049F2" w:rsidRPr="009971F6">
        <w:t>n</w:t>
      </w:r>
      <w:r w:rsidR="002F5D9F" w:rsidRPr="009971F6">
        <w:t xml:space="preserve">a Amazônia legal foi de </w:t>
      </w:r>
      <w:r w:rsidR="00023F77" w:rsidRPr="009971F6">
        <w:t>R$</w:t>
      </w:r>
      <w:r w:rsidR="002F5D9F" w:rsidRPr="009971F6">
        <w:t>20,531 mil</w:t>
      </w:r>
      <w:r w:rsidR="005049F2" w:rsidRPr="009971F6">
        <w:t xml:space="preserve"> por km² desmatado</w:t>
      </w:r>
      <w:r w:rsidR="002F5D9F" w:rsidRPr="009971F6">
        <w:t>.</w:t>
      </w:r>
    </w:p>
    <w:p w14:paraId="6CC74D54" w14:textId="77777777" w:rsidR="0061318A" w:rsidRPr="009971F6" w:rsidRDefault="0061318A" w:rsidP="0061318A">
      <w:pPr>
        <w:pStyle w:val="Ttulo2"/>
        <w:spacing w:before="0" w:after="0"/>
        <w:ind w:firstLine="0"/>
      </w:pPr>
      <w:bookmarkStart w:id="16" w:name="_Toc130219030"/>
    </w:p>
    <w:p w14:paraId="5645D20A" w14:textId="577AA85D" w:rsidR="00F054FE" w:rsidRPr="009971F6" w:rsidRDefault="00CB0AC4" w:rsidP="0061318A">
      <w:pPr>
        <w:pStyle w:val="Ttulo2"/>
        <w:spacing w:before="0" w:after="0"/>
        <w:ind w:firstLine="0"/>
        <w:rPr>
          <w:b/>
          <w:bCs/>
        </w:rPr>
      </w:pPr>
      <w:r w:rsidRPr="009971F6">
        <w:rPr>
          <w:b/>
          <w:bCs/>
        </w:rPr>
        <w:t>4</w:t>
      </w:r>
      <w:r w:rsidR="00F054FE" w:rsidRPr="009971F6">
        <w:rPr>
          <w:b/>
          <w:bCs/>
        </w:rPr>
        <w:t xml:space="preserve">.2 </w:t>
      </w:r>
      <w:r w:rsidR="0061318A" w:rsidRPr="009971F6">
        <w:rPr>
          <w:b/>
          <w:bCs/>
        </w:rPr>
        <w:t>Resultados dos modelos econométricos</w:t>
      </w:r>
      <w:bookmarkEnd w:id="16"/>
    </w:p>
    <w:p w14:paraId="68AF0DA3" w14:textId="4C533C0A" w:rsidR="00F054FE" w:rsidRPr="009971F6" w:rsidRDefault="005049F2" w:rsidP="00D3677A">
      <w:pPr>
        <w:pStyle w:val="TextoCorridoABNT"/>
      </w:pPr>
      <w:r w:rsidRPr="009971F6">
        <w:t>Inicialmente</w:t>
      </w:r>
      <w:r w:rsidR="00F16BCA" w:rsidRPr="009971F6">
        <w:t>, foram realizados</w:t>
      </w:r>
      <w:r w:rsidR="00F054FE" w:rsidRPr="009971F6">
        <w:t xml:space="preserve"> o teste de Hausman</w:t>
      </w:r>
      <w:r w:rsidR="00BD59FB" w:rsidRPr="009971F6">
        <w:t xml:space="preserve"> </w:t>
      </w:r>
      <w:r w:rsidR="001D7BD2" w:rsidRPr="009971F6">
        <w:t>(</w:t>
      </w:r>
      <w:r w:rsidR="00042FF4" w:rsidRPr="009971F6">
        <w:t>1978</w:t>
      </w:r>
      <w:r w:rsidR="001D7BD2" w:rsidRPr="009971F6">
        <w:t>)</w:t>
      </w:r>
      <w:r w:rsidR="00DA4B48" w:rsidRPr="009971F6">
        <w:t>,</w:t>
      </w:r>
      <w:r w:rsidR="00BD59FB" w:rsidRPr="009971F6">
        <w:t xml:space="preserve"> o teste de Breusch e Pagan </w:t>
      </w:r>
      <w:r w:rsidR="00642365" w:rsidRPr="009971F6">
        <w:t>(1979)</w:t>
      </w:r>
      <w:r w:rsidR="00DA4B48" w:rsidRPr="009971F6">
        <w:t xml:space="preserve"> e o teste de Chow (1960)</w:t>
      </w:r>
      <w:r w:rsidR="00642365" w:rsidRPr="009971F6">
        <w:t xml:space="preserve"> </w:t>
      </w:r>
      <w:r w:rsidR="00BD59FB" w:rsidRPr="009971F6">
        <w:t xml:space="preserve">para decidir pelo método de estimação </w:t>
      </w:r>
      <w:r w:rsidR="00D947FE" w:rsidRPr="009971F6">
        <w:t xml:space="preserve">mais </w:t>
      </w:r>
      <w:r w:rsidR="00BD59FB" w:rsidRPr="009971F6">
        <w:t xml:space="preserve">adequado. </w:t>
      </w:r>
      <w:r w:rsidR="00136E97" w:rsidRPr="009971F6">
        <w:t>A estatística do teste</w:t>
      </w:r>
      <w:r w:rsidR="00B45000" w:rsidRPr="009971F6">
        <w:t xml:space="preserve"> de Breusch e Pagan (1979)</w:t>
      </w:r>
      <w:r w:rsidR="00136E97" w:rsidRPr="009971F6">
        <w:t xml:space="preserve"> foi de 388 com </w:t>
      </w:r>
      <w:r w:rsidR="00136E97" w:rsidRPr="009971F6">
        <w:rPr>
          <w:i/>
          <w:iCs/>
        </w:rPr>
        <w:t xml:space="preserve">p-valor </w:t>
      </w:r>
      <w:r w:rsidR="00136E97" w:rsidRPr="009971F6">
        <w:t>de</w:t>
      </w:r>
      <w:r w:rsidR="00136E97" w:rsidRPr="009971F6">
        <w:rPr>
          <w:i/>
          <w:iCs/>
        </w:rPr>
        <w:t xml:space="preserve"> </w:t>
      </w:r>
      <w:r w:rsidR="00136E97" w:rsidRPr="009971F6">
        <w:t>0,00</w:t>
      </w:r>
      <w:r w:rsidR="00136E97" w:rsidRPr="009971F6">
        <w:rPr>
          <w:i/>
          <w:iCs/>
        </w:rPr>
        <w:t xml:space="preserve">, </w:t>
      </w:r>
      <w:r w:rsidR="00136E97" w:rsidRPr="009971F6">
        <w:t xml:space="preserve">indicando que é preferível utilizar </w:t>
      </w:r>
      <w:r w:rsidR="00B45000" w:rsidRPr="009971F6">
        <w:t xml:space="preserve">o </w:t>
      </w:r>
      <w:r w:rsidR="00136E97" w:rsidRPr="009971F6">
        <w:t>modelo</w:t>
      </w:r>
      <w:r w:rsidR="00B45000" w:rsidRPr="009971F6">
        <w:t xml:space="preserve"> de </w:t>
      </w:r>
      <w:r w:rsidR="00136E97" w:rsidRPr="009971F6">
        <w:t>efeitos aleatórios</w:t>
      </w:r>
      <w:r w:rsidR="00B45000" w:rsidRPr="009971F6">
        <w:t xml:space="preserve"> em detrimento do modelo de dados empilhados</w:t>
      </w:r>
      <w:r w:rsidR="00136E97" w:rsidRPr="009971F6">
        <w:t xml:space="preserve">. </w:t>
      </w:r>
      <w:r w:rsidR="00B45000" w:rsidRPr="009971F6">
        <w:t xml:space="preserve">O teste de Chow (1960) apresentou estatística de 210,25 e </w:t>
      </w:r>
      <w:r w:rsidR="00B45000" w:rsidRPr="009971F6">
        <w:rPr>
          <w:i/>
          <w:iCs/>
        </w:rPr>
        <w:t xml:space="preserve">p-valor </w:t>
      </w:r>
      <w:r w:rsidR="00B45000" w:rsidRPr="009971F6">
        <w:t>de</w:t>
      </w:r>
      <w:r w:rsidR="00B45000" w:rsidRPr="009971F6">
        <w:rPr>
          <w:i/>
          <w:iCs/>
        </w:rPr>
        <w:t xml:space="preserve"> </w:t>
      </w:r>
      <w:r w:rsidR="00B45000" w:rsidRPr="009971F6">
        <w:t>0,00, indicando preferência pelo modelo de efeitos fixos em detrimento do modelo de dados empilhados. Por fim, o</w:t>
      </w:r>
      <w:r w:rsidR="00136E97" w:rsidRPr="009971F6">
        <w:t xml:space="preserve"> teste de </w:t>
      </w:r>
      <w:r w:rsidR="009B1730" w:rsidRPr="009971F6">
        <w:t>Hausmann</w:t>
      </w:r>
      <w:r w:rsidR="00136E97" w:rsidRPr="009971F6">
        <w:t xml:space="preserve"> </w:t>
      </w:r>
      <w:r w:rsidR="00005C1F" w:rsidRPr="009971F6">
        <w:t xml:space="preserve">(1978) </w:t>
      </w:r>
      <w:r w:rsidR="00136E97" w:rsidRPr="009971F6">
        <w:t xml:space="preserve">apresentou </w:t>
      </w:r>
      <w:r w:rsidR="00F16BCA" w:rsidRPr="009971F6">
        <w:t xml:space="preserve">estatística </w:t>
      </w:r>
      <w:r w:rsidR="00136E97" w:rsidRPr="009971F6">
        <w:t xml:space="preserve">qui-quadrado de 74,43 e </w:t>
      </w:r>
      <w:r w:rsidR="00136E97" w:rsidRPr="009971F6">
        <w:rPr>
          <w:i/>
          <w:iCs/>
        </w:rPr>
        <w:t>p-valor</w:t>
      </w:r>
      <w:r w:rsidR="00136E97" w:rsidRPr="009971F6">
        <w:t xml:space="preserve"> de 0,00, indicando a preferência pelo modelo de efeitos fixos. </w:t>
      </w:r>
    </w:p>
    <w:p w14:paraId="54D8633B" w14:textId="508930DD" w:rsidR="00FE755B" w:rsidRPr="009971F6" w:rsidRDefault="00FE755B" w:rsidP="00D3677A">
      <w:pPr>
        <w:pStyle w:val="TextoCorridoABNT"/>
      </w:pPr>
      <w:r w:rsidRPr="009971F6">
        <w:lastRenderedPageBreak/>
        <w:t xml:space="preserve">A </w:t>
      </w:r>
      <w:r w:rsidR="00CE3056" w:rsidRPr="009971F6">
        <w:t>t</w:t>
      </w:r>
      <w:r w:rsidRPr="009971F6">
        <w:t xml:space="preserve">abela 3 apresenta os resultados </w:t>
      </w:r>
      <w:r w:rsidR="00DF6972" w:rsidRPr="009971F6">
        <w:t>para</w:t>
      </w:r>
      <w:r w:rsidRPr="009971F6">
        <w:t xml:space="preserve"> o modelo (1) </w:t>
      </w:r>
      <w:r w:rsidR="00DF6972" w:rsidRPr="009971F6">
        <w:t xml:space="preserve">que </w:t>
      </w:r>
      <w:r w:rsidRPr="009971F6">
        <w:t xml:space="preserve">representa a proporção de área florestal com a variável </w:t>
      </w:r>
      <w:r w:rsidRPr="009971F6">
        <w:rPr>
          <w:i/>
          <w:iCs/>
        </w:rPr>
        <w:t xml:space="preserve">ln PIB per capita </w:t>
      </w:r>
      <w:r w:rsidRPr="009971F6">
        <w:t>em sua</w:t>
      </w:r>
      <w:r w:rsidR="0012205A" w:rsidRPr="009971F6">
        <w:t xml:space="preserve"> forma</w:t>
      </w:r>
      <w:r w:rsidRPr="009971F6">
        <w:rPr>
          <w:i/>
          <w:iCs/>
        </w:rPr>
        <w:t xml:space="preserve"> </w:t>
      </w:r>
      <w:r w:rsidRPr="009971F6">
        <w:t xml:space="preserve">linear e </w:t>
      </w:r>
      <w:r w:rsidR="0005520C" w:rsidRPr="009971F6">
        <w:t>elevada ao quadrado</w:t>
      </w:r>
      <w:r w:rsidR="00BA737D" w:rsidRPr="009971F6">
        <w:t xml:space="preserve"> e para</w:t>
      </w:r>
      <w:r w:rsidRPr="009971F6">
        <w:t xml:space="preserve"> o modelo (2) </w:t>
      </w:r>
      <w:r w:rsidR="00BA737D" w:rsidRPr="009971F6">
        <w:t xml:space="preserve">que </w:t>
      </w:r>
      <w:r w:rsidRPr="009971F6">
        <w:t xml:space="preserve">apresenta somente </w:t>
      </w:r>
      <w:r w:rsidR="00BA737D" w:rsidRPr="009971F6">
        <w:t>est</w:t>
      </w:r>
      <w:r w:rsidRPr="009971F6">
        <w:t xml:space="preserve">a variável em sua forma linear. </w:t>
      </w:r>
    </w:p>
    <w:p w14:paraId="692A2883" w14:textId="7FBB5669" w:rsidR="00512BF3" w:rsidRPr="009971F6" w:rsidRDefault="00512BF3" w:rsidP="00D3677A">
      <w:pPr>
        <w:pStyle w:val="TextoCorridoABNT"/>
      </w:pPr>
      <w:r w:rsidRPr="009971F6">
        <w:t xml:space="preserve">Dentre os modelos de efeitos fixos estimados, o modelo (1) apresentou </w:t>
      </w:r>
      <w:r w:rsidR="003162DC" w:rsidRPr="009971F6">
        <w:t xml:space="preserve">valor de -21631,7 para o </w:t>
      </w:r>
      <w:r w:rsidRPr="009971F6">
        <w:t xml:space="preserve">Critério de Informação Bayesiano (BIC) e </w:t>
      </w:r>
      <w:r w:rsidR="00BA7959" w:rsidRPr="009971F6">
        <w:t xml:space="preserve">valor de -2.811216 para </w:t>
      </w:r>
      <w:r w:rsidRPr="009971F6">
        <w:t>o Critério de Informação de Akaike (AIC), enquanto o modelo (2) apresentou BIC de -21621.3 e AIC de -2.812255.</w:t>
      </w:r>
    </w:p>
    <w:p w14:paraId="03819380" w14:textId="77777777" w:rsidR="00CB0AC4" w:rsidRPr="009971F6" w:rsidRDefault="00CB0AC4" w:rsidP="0061318A">
      <w:pPr>
        <w:pStyle w:val="TextoCorridoABNT"/>
        <w:ind w:firstLine="0"/>
        <w:rPr>
          <w:b/>
          <w:bCs/>
        </w:rPr>
      </w:pPr>
    </w:p>
    <w:p w14:paraId="0E65897A" w14:textId="1799D4B3" w:rsidR="00FE755B" w:rsidRPr="009971F6" w:rsidRDefault="00E04163" w:rsidP="0061318A">
      <w:pPr>
        <w:pStyle w:val="TextoCorridoABNT"/>
        <w:ind w:firstLine="0"/>
      </w:pPr>
      <w:r w:rsidRPr="009971F6">
        <w:rPr>
          <w:b/>
          <w:bCs/>
        </w:rPr>
        <w:t>Tabela 3</w:t>
      </w:r>
      <w:r w:rsidRPr="009971F6">
        <w:t xml:space="preserve"> – Regressores para proporção de cobertura florestal.</w:t>
      </w:r>
    </w:p>
    <w:tbl>
      <w:tblPr>
        <w:tblW w:w="9072" w:type="dxa"/>
        <w:tblCellMar>
          <w:left w:w="70" w:type="dxa"/>
          <w:right w:w="70" w:type="dxa"/>
        </w:tblCellMar>
        <w:tblLook w:val="04A0" w:firstRow="1" w:lastRow="0" w:firstColumn="1" w:lastColumn="0" w:noHBand="0" w:noVBand="1"/>
      </w:tblPr>
      <w:tblGrid>
        <w:gridCol w:w="1300"/>
        <w:gridCol w:w="1197"/>
        <w:gridCol w:w="1197"/>
        <w:gridCol w:w="1197"/>
        <w:gridCol w:w="1197"/>
        <w:gridCol w:w="1419"/>
        <w:gridCol w:w="1565"/>
      </w:tblGrid>
      <w:tr w:rsidR="007C1CA8" w:rsidRPr="009971F6" w14:paraId="303B7F92" w14:textId="77777777" w:rsidTr="0061318A">
        <w:trPr>
          <w:trHeight w:val="274"/>
        </w:trPr>
        <w:tc>
          <w:tcPr>
            <w:tcW w:w="1300" w:type="dxa"/>
            <w:tcBorders>
              <w:top w:val="single" w:sz="4" w:space="0" w:color="auto"/>
              <w:left w:val="nil"/>
              <w:bottom w:val="nil"/>
              <w:right w:val="nil"/>
            </w:tcBorders>
            <w:shd w:val="clear" w:color="auto" w:fill="auto"/>
            <w:noWrap/>
            <w:vAlign w:val="bottom"/>
            <w:hideMark/>
          </w:tcPr>
          <w:p w14:paraId="1527C514" w14:textId="77777777" w:rsidR="007C1CA8" w:rsidRPr="009971F6" w:rsidRDefault="007C1CA8" w:rsidP="00D3677A">
            <w:pPr>
              <w:spacing w:line="360" w:lineRule="auto"/>
              <w:jc w:val="center"/>
              <w:rPr>
                <w:color w:val="000000"/>
                <w:sz w:val="22"/>
                <w:szCs w:val="22"/>
              </w:rPr>
            </w:pPr>
            <w:r w:rsidRPr="009971F6">
              <w:rPr>
                <w:color w:val="000000"/>
                <w:sz w:val="22"/>
                <w:szCs w:val="22"/>
              </w:rPr>
              <w:t> </w:t>
            </w:r>
          </w:p>
        </w:tc>
        <w:tc>
          <w:tcPr>
            <w:tcW w:w="3591" w:type="dxa"/>
            <w:gridSpan w:val="3"/>
            <w:tcBorders>
              <w:top w:val="single" w:sz="4" w:space="0" w:color="auto"/>
              <w:left w:val="nil"/>
              <w:bottom w:val="nil"/>
              <w:right w:val="nil"/>
            </w:tcBorders>
            <w:shd w:val="clear" w:color="auto" w:fill="auto"/>
            <w:noWrap/>
            <w:vAlign w:val="bottom"/>
            <w:hideMark/>
          </w:tcPr>
          <w:p w14:paraId="31C04205" w14:textId="77777777" w:rsidR="007C1CA8" w:rsidRPr="009971F6" w:rsidRDefault="007C1CA8" w:rsidP="00D3677A">
            <w:pPr>
              <w:spacing w:line="360" w:lineRule="auto"/>
              <w:jc w:val="center"/>
              <w:rPr>
                <w:color w:val="000000"/>
                <w:sz w:val="22"/>
                <w:szCs w:val="22"/>
              </w:rPr>
            </w:pPr>
            <w:r w:rsidRPr="009971F6">
              <w:rPr>
                <w:color w:val="000000"/>
                <w:sz w:val="22"/>
                <w:szCs w:val="22"/>
              </w:rPr>
              <w:t>Modelo (1)</w:t>
            </w:r>
          </w:p>
        </w:tc>
        <w:tc>
          <w:tcPr>
            <w:tcW w:w="4181" w:type="dxa"/>
            <w:gridSpan w:val="3"/>
            <w:tcBorders>
              <w:top w:val="single" w:sz="4" w:space="0" w:color="auto"/>
              <w:left w:val="nil"/>
              <w:bottom w:val="nil"/>
              <w:right w:val="nil"/>
            </w:tcBorders>
            <w:shd w:val="clear" w:color="auto" w:fill="auto"/>
            <w:noWrap/>
            <w:vAlign w:val="bottom"/>
            <w:hideMark/>
          </w:tcPr>
          <w:p w14:paraId="37B184AC" w14:textId="77777777" w:rsidR="007C1CA8" w:rsidRPr="009971F6" w:rsidRDefault="007C1CA8" w:rsidP="00D3677A">
            <w:pPr>
              <w:spacing w:line="360" w:lineRule="auto"/>
              <w:jc w:val="center"/>
              <w:rPr>
                <w:color w:val="000000"/>
                <w:sz w:val="22"/>
                <w:szCs w:val="22"/>
              </w:rPr>
            </w:pPr>
            <w:r w:rsidRPr="009971F6">
              <w:rPr>
                <w:color w:val="000000"/>
                <w:sz w:val="22"/>
                <w:szCs w:val="22"/>
              </w:rPr>
              <w:t>Modelo (2)</w:t>
            </w:r>
          </w:p>
        </w:tc>
      </w:tr>
      <w:tr w:rsidR="00E04163" w:rsidRPr="009971F6" w14:paraId="49FF6EA0" w14:textId="77777777" w:rsidTr="0061318A">
        <w:trPr>
          <w:trHeight w:val="274"/>
        </w:trPr>
        <w:tc>
          <w:tcPr>
            <w:tcW w:w="1300" w:type="dxa"/>
            <w:tcBorders>
              <w:top w:val="nil"/>
              <w:left w:val="nil"/>
              <w:bottom w:val="single" w:sz="4" w:space="0" w:color="auto"/>
              <w:right w:val="nil"/>
            </w:tcBorders>
            <w:shd w:val="clear" w:color="auto" w:fill="auto"/>
            <w:noWrap/>
            <w:vAlign w:val="center"/>
            <w:hideMark/>
          </w:tcPr>
          <w:p w14:paraId="7599C9A5" w14:textId="77777777" w:rsidR="007C1CA8" w:rsidRPr="009971F6" w:rsidRDefault="007C1CA8" w:rsidP="00D3677A">
            <w:pPr>
              <w:spacing w:line="360" w:lineRule="auto"/>
              <w:rPr>
                <w:color w:val="000000"/>
                <w:sz w:val="22"/>
                <w:szCs w:val="22"/>
              </w:rPr>
            </w:pPr>
            <w:r w:rsidRPr="009971F6">
              <w:rPr>
                <w:color w:val="000000"/>
                <w:sz w:val="22"/>
                <w:szCs w:val="22"/>
              </w:rPr>
              <w:t>Regressores</w:t>
            </w:r>
          </w:p>
        </w:tc>
        <w:tc>
          <w:tcPr>
            <w:tcW w:w="1197" w:type="dxa"/>
            <w:tcBorders>
              <w:top w:val="nil"/>
              <w:left w:val="nil"/>
              <w:bottom w:val="single" w:sz="4" w:space="0" w:color="auto"/>
              <w:right w:val="nil"/>
            </w:tcBorders>
            <w:shd w:val="clear" w:color="auto" w:fill="auto"/>
            <w:noWrap/>
            <w:vAlign w:val="center"/>
            <w:hideMark/>
          </w:tcPr>
          <w:p w14:paraId="27D9B554" w14:textId="118A9442" w:rsidR="007C1CA8" w:rsidRPr="009971F6" w:rsidRDefault="0081784D" w:rsidP="00D3677A">
            <w:pPr>
              <w:spacing w:line="360" w:lineRule="auto"/>
              <w:jc w:val="center"/>
              <w:rPr>
                <w:color w:val="000000"/>
                <w:sz w:val="22"/>
                <w:szCs w:val="22"/>
              </w:rPr>
            </w:pPr>
            <w:r w:rsidRPr="009971F6">
              <w:rPr>
                <w:color w:val="000000"/>
                <w:sz w:val="22"/>
                <w:szCs w:val="22"/>
              </w:rPr>
              <w:t>p</w:t>
            </w:r>
            <w:r w:rsidR="007C1CA8" w:rsidRPr="009971F6">
              <w:rPr>
                <w:color w:val="000000"/>
                <w:sz w:val="22"/>
                <w:szCs w:val="22"/>
              </w:rPr>
              <w:t>ooled</w:t>
            </w:r>
          </w:p>
        </w:tc>
        <w:tc>
          <w:tcPr>
            <w:tcW w:w="1197" w:type="dxa"/>
            <w:tcBorders>
              <w:top w:val="nil"/>
              <w:left w:val="nil"/>
              <w:bottom w:val="single" w:sz="4" w:space="0" w:color="auto"/>
              <w:right w:val="nil"/>
            </w:tcBorders>
            <w:shd w:val="clear" w:color="auto" w:fill="auto"/>
            <w:noWrap/>
            <w:vAlign w:val="center"/>
            <w:hideMark/>
          </w:tcPr>
          <w:p w14:paraId="660E310E" w14:textId="77777777" w:rsidR="007C1CA8" w:rsidRPr="009971F6" w:rsidRDefault="007C1CA8" w:rsidP="00D3677A">
            <w:pPr>
              <w:spacing w:line="360" w:lineRule="auto"/>
              <w:jc w:val="center"/>
              <w:rPr>
                <w:color w:val="000000"/>
                <w:sz w:val="22"/>
                <w:szCs w:val="22"/>
              </w:rPr>
            </w:pPr>
            <w:r w:rsidRPr="009971F6">
              <w:rPr>
                <w:color w:val="000000"/>
                <w:sz w:val="22"/>
                <w:szCs w:val="22"/>
              </w:rPr>
              <w:t>Efeito Fixos</w:t>
            </w:r>
          </w:p>
        </w:tc>
        <w:tc>
          <w:tcPr>
            <w:tcW w:w="1197" w:type="dxa"/>
            <w:tcBorders>
              <w:top w:val="nil"/>
              <w:left w:val="nil"/>
              <w:bottom w:val="single" w:sz="4" w:space="0" w:color="auto"/>
              <w:right w:val="nil"/>
            </w:tcBorders>
            <w:shd w:val="clear" w:color="auto" w:fill="auto"/>
            <w:noWrap/>
            <w:vAlign w:val="center"/>
            <w:hideMark/>
          </w:tcPr>
          <w:p w14:paraId="497CC23F" w14:textId="77777777" w:rsidR="007C1CA8" w:rsidRPr="009971F6" w:rsidRDefault="007C1CA8" w:rsidP="00D3677A">
            <w:pPr>
              <w:spacing w:line="360" w:lineRule="auto"/>
              <w:jc w:val="center"/>
              <w:rPr>
                <w:color w:val="000000"/>
                <w:sz w:val="22"/>
                <w:szCs w:val="22"/>
              </w:rPr>
            </w:pPr>
            <w:r w:rsidRPr="009971F6">
              <w:rPr>
                <w:color w:val="000000"/>
                <w:sz w:val="22"/>
                <w:szCs w:val="22"/>
              </w:rPr>
              <w:t>Efeitos Aleatórios</w:t>
            </w:r>
          </w:p>
        </w:tc>
        <w:tc>
          <w:tcPr>
            <w:tcW w:w="1197" w:type="dxa"/>
            <w:tcBorders>
              <w:top w:val="nil"/>
              <w:left w:val="nil"/>
              <w:bottom w:val="single" w:sz="4" w:space="0" w:color="auto"/>
              <w:right w:val="nil"/>
            </w:tcBorders>
            <w:shd w:val="clear" w:color="auto" w:fill="auto"/>
            <w:noWrap/>
            <w:vAlign w:val="center"/>
            <w:hideMark/>
          </w:tcPr>
          <w:p w14:paraId="5234D4C2" w14:textId="0C6654DD" w:rsidR="007C1CA8" w:rsidRPr="009971F6" w:rsidRDefault="0081784D" w:rsidP="00D3677A">
            <w:pPr>
              <w:spacing w:line="360" w:lineRule="auto"/>
              <w:jc w:val="center"/>
              <w:rPr>
                <w:color w:val="000000"/>
                <w:sz w:val="22"/>
                <w:szCs w:val="22"/>
              </w:rPr>
            </w:pPr>
            <w:r w:rsidRPr="009971F6">
              <w:rPr>
                <w:color w:val="000000"/>
                <w:sz w:val="22"/>
                <w:szCs w:val="22"/>
              </w:rPr>
              <w:t>p</w:t>
            </w:r>
            <w:r w:rsidR="007C1CA8" w:rsidRPr="009971F6">
              <w:rPr>
                <w:color w:val="000000"/>
                <w:sz w:val="22"/>
                <w:szCs w:val="22"/>
              </w:rPr>
              <w:t>ooled</w:t>
            </w:r>
          </w:p>
        </w:tc>
        <w:tc>
          <w:tcPr>
            <w:tcW w:w="1419" w:type="dxa"/>
            <w:tcBorders>
              <w:top w:val="nil"/>
              <w:left w:val="nil"/>
              <w:bottom w:val="single" w:sz="4" w:space="0" w:color="auto"/>
              <w:right w:val="nil"/>
            </w:tcBorders>
            <w:shd w:val="clear" w:color="auto" w:fill="auto"/>
            <w:noWrap/>
            <w:vAlign w:val="center"/>
            <w:hideMark/>
          </w:tcPr>
          <w:p w14:paraId="4FD30991" w14:textId="77777777" w:rsidR="007C1CA8" w:rsidRPr="009971F6" w:rsidRDefault="007C1CA8" w:rsidP="00D3677A">
            <w:pPr>
              <w:spacing w:line="360" w:lineRule="auto"/>
              <w:jc w:val="center"/>
              <w:rPr>
                <w:color w:val="000000"/>
                <w:sz w:val="22"/>
                <w:szCs w:val="22"/>
              </w:rPr>
            </w:pPr>
            <w:r w:rsidRPr="009971F6">
              <w:rPr>
                <w:color w:val="000000"/>
                <w:sz w:val="22"/>
                <w:szCs w:val="22"/>
              </w:rPr>
              <w:t>Efeito Fixos</w:t>
            </w:r>
          </w:p>
        </w:tc>
        <w:tc>
          <w:tcPr>
            <w:tcW w:w="1565" w:type="dxa"/>
            <w:tcBorders>
              <w:top w:val="nil"/>
              <w:left w:val="nil"/>
              <w:bottom w:val="single" w:sz="4" w:space="0" w:color="auto"/>
              <w:right w:val="nil"/>
            </w:tcBorders>
            <w:shd w:val="clear" w:color="auto" w:fill="auto"/>
            <w:noWrap/>
            <w:vAlign w:val="center"/>
            <w:hideMark/>
          </w:tcPr>
          <w:p w14:paraId="6E22D983" w14:textId="77777777" w:rsidR="007C1CA8" w:rsidRPr="009971F6" w:rsidRDefault="007C1CA8" w:rsidP="00D3677A">
            <w:pPr>
              <w:spacing w:line="360" w:lineRule="auto"/>
              <w:jc w:val="center"/>
              <w:rPr>
                <w:color w:val="000000"/>
                <w:sz w:val="22"/>
                <w:szCs w:val="22"/>
              </w:rPr>
            </w:pPr>
            <w:r w:rsidRPr="009971F6">
              <w:rPr>
                <w:color w:val="000000"/>
                <w:sz w:val="22"/>
                <w:szCs w:val="22"/>
              </w:rPr>
              <w:t>Efeitos Aleatórios</w:t>
            </w:r>
          </w:p>
        </w:tc>
      </w:tr>
      <w:tr w:rsidR="00E04163" w:rsidRPr="009971F6" w14:paraId="1C1A03B8" w14:textId="77777777" w:rsidTr="0061318A">
        <w:trPr>
          <w:trHeight w:val="712"/>
        </w:trPr>
        <w:tc>
          <w:tcPr>
            <w:tcW w:w="1300" w:type="dxa"/>
            <w:tcBorders>
              <w:top w:val="nil"/>
              <w:left w:val="nil"/>
              <w:bottom w:val="nil"/>
              <w:right w:val="nil"/>
            </w:tcBorders>
            <w:shd w:val="clear" w:color="auto" w:fill="auto"/>
            <w:noWrap/>
            <w:vAlign w:val="center"/>
            <w:hideMark/>
          </w:tcPr>
          <w:p w14:paraId="6743C9AA" w14:textId="77777777" w:rsidR="007C1CA8" w:rsidRPr="009971F6" w:rsidRDefault="007C1CA8" w:rsidP="00D3677A">
            <w:pPr>
              <w:spacing w:line="360" w:lineRule="auto"/>
              <w:rPr>
                <w:color w:val="000000"/>
                <w:sz w:val="22"/>
                <w:szCs w:val="22"/>
              </w:rPr>
            </w:pPr>
            <w:r w:rsidRPr="009971F6">
              <w:rPr>
                <w:color w:val="000000"/>
                <w:sz w:val="22"/>
                <w:szCs w:val="22"/>
              </w:rPr>
              <w:t>Constante</w:t>
            </w:r>
          </w:p>
        </w:tc>
        <w:tc>
          <w:tcPr>
            <w:tcW w:w="1197" w:type="dxa"/>
            <w:tcBorders>
              <w:top w:val="nil"/>
              <w:left w:val="nil"/>
              <w:bottom w:val="nil"/>
              <w:right w:val="nil"/>
            </w:tcBorders>
            <w:shd w:val="clear" w:color="auto" w:fill="auto"/>
            <w:vAlign w:val="center"/>
            <w:hideMark/>
          </w:tcPr>
          <w:p w14:paraId="2E9C5AEC" w14:textId="41CD14C2" w:rsidR="007C1CA8" w:rsidRPr="009971F6" w:rsidRDefault="007C1CA8" w:rsidP="00D3677A">
            <w:pPr>
              <w:spacing w:line="360" w:lineRule="auto"/>
              <w:jc w:val="center"/>
              <w:rPr>
                <w:color w:val="000000"/>
                <w:sz w:val="22"/>
                <w:szCs w:val="22"/>
              </w:rPr>
            </w:pPr>
            <w:r w:rsidRPr="009971F6">
              <w:rPr>
                <w:color w:val="000000"/>
                <w:sz w:val="22"/>
                <w:szCs w:val="22"/>
              </w:rPr>
              <w:t>0,9216</w:t>
            </w:r>
            <w:r w:rsidR="00E04163" w:rsidRPr="009971F6">
              <w:rPr>
                <w:color w:val="000000"/>
                <w:sz w:val="22"/>
                <w:szCs w:val="22"/>
              </w:rPr>
              <w:t xml:space="preserve">  </w:t>
            </w:r>
            <w:r w:rsidRPr="009971F6">
              <w:rPr>
                <w:color w:val="000000"/>
                <w:sz w:val="22"/>
                <w:szCs w:val="22"/>
              </w:rPr>
              <w:t xml:space="preserve"> *** (0,00)</w:t>
            </w:r>
          </w:p>
        </w:tc>
        <w:tc>
          <w:tcPr>
            <w:tcW w:w="1197" w:type="dxa"/>
            <w:tcBorders>
              <w:top w:val="nil"/>
              <w:left w:val="nil"/>
              <w:bottom w:val="nil"/>
              <w:right w:val="nil"/>
            </w:tcBorders>
            <w:shd w:val="clear" w:color="auto" w:fill="auto"/>
            <w:vAlign w:val="center"/>
            <w:hideMark/>
          </w:tcPr>
          <w:p w14:paraId="3F58D33F" w14:textId="77777777" w:rsidR="007C1CA8" w:rsidRPr="009971F6" w:rsidRDefault="007C1CA8" w:rsidP="00D3677A">
            <w:pPr>
              <w:spacing w:line="360" w:lineRule="auto"/>
              <w:jc w:val="center"/>
              <w:rPr>
                <w:color w:val="000000"/>
                <w:sz w:val="22"/>
                <w:szCs w:val="22"/>
              </w:rPr>
            </w:pPr>
            <w:r w:rsidRPr="009971F6">
              <w:rPr>
                <w:color w:val="000000"/>
                <w:sz w:val="22"/>
                <w:szCs w:val="22"/>
              </w:rPr>
              <w:t>-</w:t>
            </w:r>
          </w:p>
        </w:tc>
        <w:tc>
          <w:tcPr>
            <w:tcW w:w="1197" w:type="dxa"/>
            <w:tcBorders>
              <w:top w:val="nil"/>
              <w:left w:val="nil"/>
              <w:bottom w:val="nil"/>
              <w:right w:val="nil"/>
            </w:tcBorders>
            <w:shd w:val="clear" w:color="auto" w:fill="auto"/>
            <w:vAlign w:val="center"/>
            <w:hideMark/>
          </w:tcPr>
          <w:p w14:paraId="4DACE49D" w14:textId="523A686F"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5061</w:t>
            </w:r>
            <w:r w:rsidR="00E04163" w:rsidRPr="009971F6">
              <w:rPr>
                <w:color w:val="000000"/>
                <w:sz w:val="22"/>
                <w:szCs w:val="22"/>
              </w:rPr>
              <w:t xml:space="preserve">  </w:t>
            </w:r>
            <w:r w:rsidRPr="009971F6">
              <w:rPr>
                <w:color w:val="000000"/>
                <w:sz w:val="22"/>
                <w:szCs w:val="22"/>
              </w:rPr>
              <w:t xml:space="preserve"> *** (0</w:t>
            </w:r>
            <w:r w:rsidR="00516AEA" w:rsidRPr="009971F6">
              <w:rPr>
                <w:color w:val="000000"/>
                <w:sz w:val="22"/>
                <w:szCs w:val="22"/>
              </w:rPr>
              <w:t>,</w:t>
            </w:r>
            <w:r w:rsidRPr="009971F6">
              <w:rPr>
                <w:color w:val="000000"/>
                <w:sz w:val="22"/>
                <w:szCs w:val="22"/>
              </w:rPr>
              <w:t>00)</w:t>
            </w:r>
          </w:p>
        </w:tc>
        <w:tc>
          <w:tcPr>
            <w:tcW w:w="1197" w:type="dxa"/>
            <w:tcBorders>
              <w:top w:val="nil"/>
              <w:left w:val="single" w:sz="4" w:space="0" w:color="auto"/>
              <w:bottom w:val="nil"/>
              <w:right w:val="nil"/>
            </w:tcBorders>
            <w:shd w:val="clear" w:color="auto" w:fill="auto"/>
            <w:vAlign w:val="center"/>
            <w:hideMark/>
          </w:tcPr>
          <w:p w14:paraId="7CCB34DF" w14:textId="25C55C5E"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7727</w:t>
            </w:r>
            <w:r w:rsidR="00E04163" w:rsidRPr="009971F6">
              <w:rPr>
                <w:color w:val="000000"/>
                <w:sz w:val="22"/>
                <w:szCs w:val="22"/>
              </w:rPr>
              <w:t xml:space="preserve">  </w:t>
            </w:r>
            <w:r w:rsidRPr="009971F6">
              <w:rPr>
                <w:color w:val="000000"/>
                <w:sz w:val="22"/>
                <w:szCs w:val="22"/>
              </w:rPr>
              <w:t xml:space="preserve"> *** (0,00)</w:t>
            </w:r>
          </w:p>
        </w:tc>
        <w:tc>
          <w:tcPr>
            <w:tcW w:w="1419" w:type="dxa"/>
            <w:tcBorders>
              <w:top w:val="nil"/>
              <w:left w:val="nil"/>
              <w:bottom w:val="nil"/>
              <w:right w:val="nil"/>
            </w:tcBorders>
            <w:shd w:val="clear" w:color="auto" w:fill="auto"/>
            <w:vAlign w:val="center"/>
            <w:hideMark/>
          </w:tcPr>
          <w:p w14:paraId="1AB8470D" w14:textId="77777777" w:rsidR="007C1CA8" w:rsidRPr="009971F6" w:rsidRDefault="007C1CA8" w:rsidP="00D3677A">
            <w:pPr>
              <w:spacing w:line="360" w:lineRule="auto"/>
              <w:jc w:val="center"/>
              <w:rPr>
                <w:color w:val="000000"/>
                <w:sz w:val="22"/>
                <w:szCs w:val="22"/>
              </w:rPr>
            </w:pPr>
            <w:r w:rsidRPr="009971F6">
              <w:rPr>
                <w:color w:val="000000"/>
                <w:sz w:val="22"/>
                <w:szCs w:val="22"/>
              </w:rPr>
              <w:t>-</w:t>
            </w:r>
          </w:p>
        </w:tc>
        <w:tc>
          <w:tcPr>
            <w:tcW w:w="1565" w:type="dxa"/>
            <w:tcBorders>
              <w:top w:val="nil"/>
              <w:left w:val="nil"/>
              <w:bottom w:val="nil"/>
              <w:right w:val="nil"/>
            </w:tcBorders>
            <w:shd w:val="clear" w:color="auto" w:fill="auto"/>
            <w:vAlign w:val="center"/>
            <w:hideMark/>
          </w:tcPr>
          <w:p w14:paraId="2A8A70E6" w14:textId="7137AE88"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4424</w:t>
            </w:r>
            <w:r w:rsidR="00E04163" w:rsidRPr="009971F6">
              <w:rPr>
                <w:color w:val="000000"/>
                <w:sz w:val="22"/>
                <w:szCs w:val="22"/>
              </w:rPr>
              <w:t xml:space="preserve">    </w:t>
            </w:r>
            <w:r w:rsidRPr="009971F6">
              <w:rPr>
                <w:color w:val="000000"/>
                <w:sz w:val="22"/>
                <w:szCs w:val="22"/>
              </w:rPr>
              <w:t xml:space="preserve"> *** (0</w:t>
            </w:r>
            <w:r w:rsidR="00516AEA" w:rsidRPr="009971F6">
              <w:rPr>
                <w:color w:val="000000"/>
                <w:sz w:val="22"/>
                <w:szCs w:val="22"/>
              </w:rPr>
              <w:t>,</w:t>
            </w:r>
            <w:r w:rsidRPr="009971F6">
              <w:rPr>
                <w:color w:val="000000"/>
                <w:sz w:val="22"/>
                <w:szCs w:val="22"/>
              </w:rPr>
              <w:t>00)</w:t>
            </w:r>
          </w:p>
        </w:tc>
      </w:tr>
      <w:tr w:rsidR="00E04163" w:rsidRPr="009971F6" w14:paraId="3FDCD840" w14:textId="77777777" w:rsidTr="0061318A">
        <w:trPr>
          <w:trHeight w:val="548"/>
        </w:trPr>
        <w:tc>
          <w:tcPr>
            <w:tcW w:w="1300" w:type="dxa"/>
            <w:tcBorders>
              <w:top w:val="nil"/>
              <w:left w:val="nil"/>
              <w:bottom w:val="nil"/>
              <w:right w:val="nil"/>
            </w:tcBorders>
            <w:shd w:val="clear" w:color="auto" w:fill="auto"/>
            <w:noWrap/>
            <w:vAlign w:val="center"/>
            <w:hideMark/>
          </w:tcPr>
          <w:p w14:paraId="2D0D6D5B" w14:textId="5EE89BF9" w:rsidR="007C1CA8" w:rsidRPr="009971F6" w:rsidRDefault="007C1CA8" w:rsidP="00D3677A">
            <w:pPr>
              <w:spacing w:line="360" w:lineRule="auto"/>
              <w:rPr>
                <w:color w:val="000000"/>
                <w:sz w:val="22"/>
                <w:szCs w:val="22"/>
              </w:rPr>
            </w:pPr>
            <w:r w:rsidRPr="009971F6">
              <w:rPr>
                <w:color w:val="000000"/>
                <w:sz w:val="22"/>
                <w:szCs w:val="22"/>
              </w:rPr>
              <w:t xml:space="preserve">ln </w:t>
            </w:r>
            <w:r w:rsidR="00FE755B" w:rsidRPr="009971F6">
              <w:rPr>
                <w:color w:val="000000"/>
                <w:sz w:val="22"/>
                <w:szCs w:val="22"/>
              </w:rPr>
              <w:t>PIB</w:t>
            </w:r>
            <w:r w:rsidRPr="009971F6">
              <w:rPr>
                <w:color w:val="000000"/>
                <w:sz w:val="22"/>
                <w:szCs w:val="22"/>
              </w:rPr>
              <w:t xml:space="preserve"> </w:t>
            </w:r>
            <w:r w:rsidRPr="009971F6">
              <w:rPr>
                <w:i/>
                <w:iCs/>
                <w:color w:val="000000"/>
                <w:sz w:val="22"/>
                <w:szCs w:val="22"/>
              </w:rPr>
              <w:t>per capita</w:t>
            </w:r>
          </w:p>
        </w:tc>
        <w:tc>
          <w:tcPr>
            <w:tcW w:w="1197" w:type="dxa"/>
            <w:tcBorders>
              <w:top w:val="nil"/>
              <w:left w:val="nil"/>
              <w:bottom w:val="nil"/>
              <w:right w:val="nil"/>
            </w:tcBorders>
            <w:shd w:val="clear" w:color="auto" w:fill="auto"/>
            <w:vAlign w:val="center"/>
            <w:hideMark/>
          </w:tcPr>
          <w:p w14:paraId="772908C8" w14:textId="19D51B66"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1610 *** (0,00)</w:t>
            </w:r>
          </w:p>
        </w:tc>
        <w:tc>
          <w:tcPr>
            <w:tcW w:w="1197" w:type="dxa"/>
            <w:tcBorders>
              <w:top w:val="nil"/>
              <w:left w:val="nil"/>
              <w:bottom w:val="nil"/>
              <w:right w:val="nil"/>
            </w:tcBorders>
            <w:shd w:val="clear" w:color="auto" w:fill="auto"/>
            <w:vAlign w:val="center"/>
            <w:hideMark/>
          </w:tcPr>
          <w:p w14:paraId="7C42E0DB" w14:textId="62A67C05"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0475 *** (0</w:t>
            </w:r>
            <w:r w:rsidR="00516AEA" w:rsidRPr="009971F6">
              <w:rPr>
                <w:color w:val="000000"/>
                <w:sz w:val="22"/>
                <w:szCs w:val="22"/>
              </w:rPr>
              <w:t>,</w:t>
            </w:r>
            <w:r w:rsidRPr="009971F6">
              <w:rPr>
                <w:color w:val="000000"/>
                <w:sz w:val="22"/>
                <w:szCs w:val="22"/>
              </w:rPr>
              <w:t>00)</w:t>
            </w:r>
          </w:p>
        </w:tc>
        <w:tc>
          <w:tcPr>
            <w:tcW w:w="1197" w:type="dxa"/>
            <w:tcBorders>
              <w:top w:val="nil"/>
              <w:left w:val="nil"/>
              <w:bottom w:val="nil"/>
              <w:right w:val="nil"/>
            </w:tcBorders>
            <w:shd w:val="clear" w:color="auto" w:fill="auto"/>
            <w:vAlign w:val="center"/>
            <w:hideMark/>
          </w:tcPr>
          <w:p w14:paraId="2CB929AC" w14:textId="568E6A03"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0487 *** (0</w:t>
            </w:r>
            <w:r w:rsidR="00516AEA" w:rsidRPr="009971F6">
              <w:rPr>
                <w:color w:val="000000"/>
                <w:sz w:val="22"/>
                <w:szCs w:val="22"/>
              </w:rPr>
              <w:t>,</w:t>
            </w:r>
            <w:r w:rsidRPr="009971F6">
              <w:rPr>
                <w:color w:val="000000"/>
                <w:sz w:val="22"/>
                <w:szCs w:val="22"/>
              </w:rPr>
              <w:t>00)</w:t>
            </w:r>
          </w:p>
        </w:tc>
        <w:tc>
          <w:tcPr>
            <w:tcW w:w="1197" w:type="dxa"/>
            <w:tcBorders>
              <w:top w:val="nil"/>
              <w:left w:val="single" w:sz="4" w:space="0" w:color="auto"/>
              <w:bottom w:val="nil"/>
              <w:right w:val="nil"/>
            </w:tcBorders>
            <w:shd w:val="clear" w:color="auto" w:fill="auto"/>
            <w:vAlign w:val="center"/>
            <w:hideMark/>
          </w:tcPr>
          <w:p w14:paraId="5680658E" w14:textId="3085D8F8"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0575 *** (0,00)</w:t>
            </w:r>
          </w:p>
        </w:tc>
        <w:tc>
          <w:tcPr>
            <w:tcW w:w="1419" w:type="dxa"/>
            <w:tcBorders>
              <w:top w:val="nil"/>
              <w:left w:val="nil"/>
              <w:bottom w:val="nil"/>
              <w:right w:val="nil"/>
            </w:tcBorders>
            <w:shd w:val="clear" w:color="auto" w:fill="auto"/>
            <w:vAlign w:val="center"/>
            <w:hideMark/>
          </w:tcPr>
          <w:p w14:paraId="16C4C9A9" w14:textId="7B172916"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0034       (0</w:t>
            </w:r>
            <w:r w:rsidR="00516AEA" w:rsidRPr="009971F6">
              <w:rPr>
                <w:color w:val="000000"/>
                <w:sz w:val="22"/>
                <w:szCs w:val="22"/>
              </w:rPr>
              <w:t>,</w:t>
            </w:r>
            <w:r w:rsidRPr="009971F6">
              <w:rPr>
                <w:color w:val="000000"/>
                <w:sz w:val="22"/>
                <w:szCs w:val="22"/>
              </w:rPr>
              <w:t>19)</w:t>
            </w:r>
          </w:p>
        </w:tc>
        <w:tc>
          <w:tcPr>
            <w:tcW w:w="1565" w:type="dxa"/>
            <w:tcBorders>
              <w:top w:val="nil"/>
              <w:left w:val="nil"/>
              <w:bottom w:val="nil"/>
              <w:right w:val="nil"/>
            </w:tcBorders>
            <w:shd w:val="clear" w:color="auto" w:fill="auto"/>
            <w:vAlign w:val="center"/>
            <w:hideMark/>
          </w:tcPr>
          <w:p w14:paraId="16792067" w14:textId="30C4BC99"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00379     (0</w:t>
            </w:r>
            <w:r w:rsidR="00516AEA" w:rsidRPr="009971F6">
              <w:rPr>
                <w:color w:val="000000"/>
                <w:sz w:val="22"/>
                <w:szCs w:val="22"/>
              </w:rPr>
              <w:t>,</w:t>
            </w:r>
            <w:r w:rsidRPr="009971F6">
              <w:rPr>
                <w:color w:val="000000"/>
                <w:sz w:val="22"/>
                <w:szCs w:val="22"/>
              </w:rPr>
              <w:t>14)</w:t>
            </w:r>
          </w:p>
        </w:tc>
      </w:tr>
      <w:tr w:rsidR="00E04163" w:rsidRPr="009971F6" w14:paraId="785B62D2" w14:textId="77777777" w:rsidTr="0061318A">
        <w:trPr>
          <w:trHeight w:val="548"/>
        </w:trPr>
        <w:tc>
          <w:tcPr>
            <w:tcW w:w="1300" w:type="dxa"/>
            <w:tcBorders>
              <w:top w:val="nil"/>
              <w:left w:val="nil"/>
              <w:bottom w:val="nil"/>
              <w:right w:val="nil"/>
            </w:tcBorders>
            <w:shd w:val="clear" w:color="auto" w:fill="auto"/>
            <w:noWrap/>
            <w:vAlign w:val="center"/>
            <w:hideMark/>
          </w:tcPr>
          <w:p w14:paraId="1660D802" w14:textId="630E297F" w:rsidR="007C1CA8" w:rsidRPr="009971F6" w:rsidRDefault="007C1CA8" w:rsidP="00D3677A">
            <w:pPr>
              <w:spacing w:line="360" w:lineRule="auto"/>
              <w:rPr>
                <w:color w:val="000000"/>
                <w:sz w:val="22"/>
                <w:szCs w:val="22"/>
              </w:rPr>
            </w:pPr>
            <w:r w:rsidRPr="009971F6">
              <w:rPr>
                <w:color w:val="000000"/>
                <w:sz w:val="22"/>
                <w:szCs w:val="22"/>
              </w:rPr>
              <w:t xml:space="preserve">(ln </w:t>
            </w:r>
            <w:r w:rsidR="00FE755B" w:rsidRPr="009971F6">
              <w:rPr>
                <w:color w:val="000000"/>
                <w:sz w:val="22"/>
                <w:szCs w:val="22"/>
              </w:rPr>
              <w:t>PIB</w:t>
            </w:r>
            <w:r w:rsidRPr="009971F6">
              <w:rPr>
                <w:color w:val="000000"/>
                <w:sz w:val="22"/>
                <w:szCs w:val="22"/>
              </w:rPr>
              <w:t xml:space="preserve"> </w:t>
            </w:r>
            <w:r w:rsidRPr="009971F6">
              <w:rPr>
                <w:i/>
                <w:iCs/>
                <w:color w:val="000000"/>
                <w:sz w:val="22"/>
                <w:szCs w:val="22"/>
              </w:rPr>
              <w:t>per capita</w:t>
            </w:r>
            <w:r w:rsidRPr="009971F6">
              <w:rPr>
                <w:color w:val="000000"/>
                <w:sz w:val="22"/>
                <w:szCs w:val="22"/>
              </w:rPr>
              <w:t>) ²</w:t>
            </w:r>
          </w:p>
        </w:tc>
        <w:tc>
          <w:tcPr>
            <w:tcW w:w="1197" w:type="dxa"/>
            <w:tcBorders>
              <w:top w:val="nil"/>
              <w:left w:val="nil"/>
              <w:bottom w:val="nil"/>
              <w:right w:val="nil"/>
            </w:tcBorders>
            <w:shd w:val="clear" w:color="auto" w:fill="auto"/>
            <w:vAlign w:val="center"/>
            <w:hideMark/>
          </w:tcPr>
          <w:p w14:paraId="1C4B8684" w14:textId="141505F8"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 xml:space="preserve">0173 </w:t>
            </w:r>
            <w:r w:rsidR="00E04163" w:rsidRPr="009971F6">
              <w:rPr>
                <w:color w:val="000000"/>
                <w:sz w:val="22"/>
                <w:szCs w:val="22"/>
              </w:rPr>
              <w:t xml:space="preserve">  </w:t>
            </w:r>
            <w:r w:rsidRPr="009971F6">
              <w:rPr>
                <w:color w:val="000000"/>
                <w:sz w:val="22"/>
                <w:szCs w:val="22"/>
              </w:rPr>
              <w:t>*** (0</w:t>
            </w:r>
            <w:r w:rsidR="00516AEA" w:rsidRPr="009971F6">
              <w:rPr>
                <w:color w:val="000000"/>
                <w:sz w:val="22"/>
                <w:szCs w:val="22"/>
              </w:rPr>
              <w:t>,</w:t>
            </w:r>
            <w:r w:rsidRPr="009971F6">
              <w:rPr>
                <w:color w:val="000000"/>
                <w:sz w:val="22"/>
                <w:szCs w:val="22"/>
              </w:rPr>
              <w:t>00)</w:t>
            </w:r>
          </w:p>
        </w:tc>
        <w:tc>
          <w:tcPr>
            <w:tcW w:w="1197" w:type="dxa"/>
            <w:tcBorders>
              <w:top w:val="nil"/>
              <w:left w:val="nil"/>
              <w:bottom w:val="nil"/>
              <w:right w:val="nil"/>
            </w:tcBorders>
            <w:shd w:val="clear" w:color="auto" w:fill="auto"/>
            <w:vAlign w:val="center"/>
            <w:hideMark/>
          </w:tcPr>
          <w:p w14:paraId="18743BDD" w14:textId="696AAFC0"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 xml:space="preserve">0074 </w:t>
            </w:r>
            <w:r w:rsidR="00E04163" w:rsidRPr="009971F6">
              <w:rPr>
                <w:color w:val="000000"/>
                <w:sz w:val="22"/>
                <w:szCs w:val="22"/>
              </w:rPr>
              <w:t xml:space="preserve">  </w:t>
            </w:r>
            <w:r w:rsidRPr="009971F6">
              <w:rPr>
                <w:color w:val="000000"/>
                <w:sz w:val="22"/>
                <w:szCs w:val="22"/>
              </w:rPr>
              <w:t>*** (0</w:t>
            </w:r>
            <w:r w:rsidR="00516AEA" w:rsidRPr="009971F6">
              <w:rPr>
                <w:color w:val="000000"/>
                <w:sz w:val="22"/>
                <w:szCs w:val="22"/>
              </w:rPr>
              <w:t>,</w:t>
            </w:r>
            <w:r w:rsidRPr="009971F6">
              <w:rPr>
                <w:color w:val="000000"/>
                <w:sz w:val="22"/>
                <w:szCs w:val="22"/>
              </w:rPr>
              <w:t>00)</w:t>
            </w:r>
          </w:p>
        </w:tc>
        <w:tc>
          <w:tcPr>
            <w:tcW w:w="1197" w:type="dxa"/>
            <w:tcBorders>
              <w:top w:val="nil"/>
              <w:left w:val="nil"/>
              <w:bottom w:val="nil"/>
              <w:right w:val="nil"/>
            </w:tcBorders>
            <w:shd w:val="clear" w:color="auto" w:fill="auto"/>
            <w:vAlign w:val="center"/>
            <w:hideMark/>
          </w:tcPr>
          <w:p w14:paraId="3E2952D2" w14:textId="414B2B96"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 xml:space="preserve">0075 </w:t>
            </w:r>
            <w:r w:rsidR="00E04163" w:rsidRPr="009971F6">
              <w:rPr>
                <w:color w:val="000000"/>
                <w:sz w:val="22"/>
                <w:szCs w:val="22"/>
              </w:rPr>
              <w:t xml:space="preserve">  </w:t>
            </w:r>
            <w:r w:rsidRPr="009971F6">
              <w:rPr>
                <w:color w:val="000000"/>
                <w:sz w:val="22"/>
                <w:szCs w:val="22"/>
              </w:rPr>
              <w:t>*** (0</w:t>
            </w:r>
            <w:r w:rsidR="00516AEA" w:rsidRPr="009971F6">
              <w:rPr>
                <w:color w:val="000000"/>
                <w:sz w:val="22"/>
                <w:szCs w:val="22"/>
              </w:rPr>
              <w:t>,</w:t>
            </w:r>
            <w:r w:rsidRPr="009971F6">
              <w:rPr>
                <w:color w:val="000000"/>
                <w:sz w:val="22"/>
                <w:szCs w:val="22"/>
              </w:rPr>
              <w:t>00)</w:t>
            </w:r>
          </w:p>
        </w:tc>
        <w:tc>
          <w:tcPr>
            <w:tcW w:w="1197" w:type="dxa"/>
            <w:tcBorders>
              <w:top w:val="nil"/>
              <w:left w:val="single" w:sz="4" w:space="0" w:color="auto"/>
              <w:bottom w:val="nil"/>
              <w:right w:val="nil"/>
            </w:tcBorders>
            <w:shd w:val="clear" w:color="auto" w:fill="auto"/>
            <w:vAlign w:val="center"/>
            <w:hideMark/>
          </w:tcPr>
          <w:p w14:paraId="525B0B58" w14:textId="77777777" w:rsidR="007C1CA8" w:rsidRPr="009971F6" w:rsidRDefault="007C1CA8" w:rsidP="00D3677A">
            <w:pPr>
              <w:spacing w:line="360" w:lineRule="auto"/>
              <w:jc w:val="center"/>
              <w:rPr>
                <w:color w:val="000000"/>
                <w:sz w:val="22"/>
                <w:szCs w:val="22"/>
              </w:rPr>
            </w:pPr>
            <w:r w:rsidRPr="009971F6">
              <w:rPr>
                <w:color w:val="000000"/>
                <w:sz w:val="22"/>
                <w:szCs w:val="22"/>
              </w:rPr>
              <w:t>-</w:t>
            </w:r>
          </w:p>
        </w:tc>
        <w:tc>
          <w:tcPr>
            <w:tcW w:w="1419" w:type="dxa"/>
            <w:tcBorders>
              <w:top w:val="nil"/>
              <w:left w:val="nil"/>
              <w:bottom w:val="nil"/>
              <w:right w:val="nil"/>
            </w:tcBorders>
            <w:shd w:val="clear" w:color="auto" w:fill="auto"/>
            <w:vAlign w:val="center"/>
            <w:hideMark/>
          </w:tcPr>
          <w:p w14:paraId="09CF0CA2" w14:textId="77777777" w:rsidR="007C1CA8" w:rsidRPr="009971F6" w:rsidRDefault="007C1CA8" w:rsidP="00D3677A">
            <w:pPr>
              <w:spacing w:line="360" w:lineRule="auto"/>
              <w:jc w:val="center"/>
              <w:rPr>
                <w:color w:val="000000"/>
                <w:sz w:val="22"/>
                <w:szCs w:val="22"/>
              </w:rPr>
            </w:pPr>
            <w:r w:rsidRPr="009971F6">
              <w:rPr>
                <w:color w:val="000000"/>
                <w:sz w:val="22"/>
                <w:szCs w:val="22"/>
              </w:rPr>
              <w:t>-</w:t>
            </w:r>
          </w:p>
        </w:tc>
        <w:tc>
          <w:tcPr>
            <w:tcW w:w="1565" w:type="dxa"/>
            <w:tcBorders>
              <w:top w:val="nil"/>
              <w:left w:val="nil"/>
              <w:bottom w:val="nil"/>
              <w:right w:val="nil"/>
            </w:tcBorders>
            <w:shd w:val="clear" w:color="auto" w:fill="auto"/>
            <w:vAlign w:val="center"/>
            <w:hideMark/>
          </w:tcPr>
          <w:p w14:paraId="67245846" w14:textId="77777777" w:rsidR="007C1CA8" w:rsidRPr="009971F6" w:rsidRDefault="007C1CA8" w:rsidP="00D3677A">
            <w:pPr>
              <w:spacing w:line="360" w:lineRule="auto"/>
              <w:jc w:val="center"/>
              <w:rPr>
                <w:color w:val="000000"/>
                <w:sz w:val="22"/>
                <w:szCs w:val="22"/>
              </w:rPr>
            </w:pPr>
            <w:r w:rsidRPr="009971F6">
              <w:rPr>
                <w:color w:val="000000"/>
                <w:sz w:val="22"/>
                <w:szCs w:val="22"/>
              </w:rPr>
              <w:t>-</w:t>
            </w:r>
          </w:p>
        </w:tc>
      </w:tr>
      <w:tr w:rsidR="00E04163" w:rsidRPr="009971F6" w14:paraId="696E3068" w14:textId="77777777" w:rsidTr="0061318A">
        <w:trPr>
          <w:trHeight w:val="548"/>
        </w:trPr>
        <w:tc>
          <w:tcPr>
            <w:tcW w:w="1300" w:type="dxa"/>
            <w:tcBorders>
              <w:top w:val="nil"/>
              <w:left w:val="nil"/>
              <w:bottom w:val="nil"/>
              <w:right w:val="nil"/>
            </w:tcBorders>
            <w:shd w:val="clear" w:color="auto" w:fill="auto"/>
            <w:noWrap/>
            <w:vAlign w:val="center"/>
            <w:hideMark/>
          </w:tcPr>
          <w:p w14:paraId="64EB19FB" w14:textId="58C8CD14" w:rsidR="007C1CA8" w:rsidRPr="009971F6" w:rsidRDefault="007C1CA8" w:rsidP="00D3677A">
            <w:pPr>
              <w:spacing w:line="360" w:lineRule="auto"/>
              <w:rPr>
                <w:color w:val="000000"/>
                <w:sz w:val="22"/>
                <w:szCs w:val="22"/>
              </w:rPr>
            </w:pPr>
            <w:r w:rsidRPr="009971F6">
              <w:rPr>
                <w:color w:val="000000"/>
                <w:sz w:val="22"/>
                <w:szCs w:val="22"/>
              </w:rPr>
              <w:t xml:space="preserve">Proporção </w:t>
            </w:r>
            <w:r w:rsidR="00415811" w:rsidRPr="009971F6">
              <w:rPr>
                <w:color w:val="000000"/>
                <w:sz w:val="22"/>
                <w:szCs w:val="22"/>
              </w:rPr>
              <w:t xml:space="preserve">PIB </w:t>
            </w:r>
            <w:r w:rsidRPr="009971F6">
              <w:rPr>
                <w:color w:val="000000"/>
                <w:sz w:val="22"/>
                <w:szCs w:val="22"/>
              </w:rPr>
              <w:t>Agrícola</w:t>
            </w:r>
          </w:p>
        </w:tc>
        <w:tc>
          <w:tcPr>
            <w:tcW w:w="1197" w:type="dxa"/>
            <w:tcBorders>
              <w:top w:val="nil"/>
              <w:left w:val="nil"/>
              <w:bottom w:val="nil"/>
              <w:right w:val="nil"/>
            </w:tcBorders>
            <w:shd w:val="clear" w:color="auto" w:fill="auto"/>
            <w:vAlign w:val="center"/>
            <w:hideMark/>
          </w:tcPr>
          <w:p w14:paraId="2A50B097" w14:textId="0CAF3B1D"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4667 *** (0</w:t>
            </w:r>
            <w:r w:rsidR="00516AEA" w:rsidRPr="009971F6">
              <w:rPr>
                <w:color w:val="000000"/>
                <w:sz w:val="22"/>
                <w:szCs w:val="22"/>
              </w:rPr>
              <w:t>,</w:t>
            </w:r>
            <w:r w:rsidRPr="009971F6">
              <w:rPr>
                <w:color w:val="000000"/>
                <w:sz w:val="22"/>
                <w:szCs w:val="22"/>
              </w:rPr>
              <w:t>00)</w:t>
            </w:r>
          </w:p>
        </w:tc>
        <w:tc>
          <w:tcPr>
            <w:tcW w:w="1197" w:type="dxa"/>
            <w:tcBorders>
              <w:top w:val="nil"/>
              <w:left w:val="nil"/>
              <w:bottom w:val="nil"/>
              <w:right w:val="nil"/>
            </w:tcBorders>
            <w:shd w:val="clear" w:color="auto" w:fill="auto"/>
            <w:vAlign w:val="center"/>
            <w:hideMark/>
          </w:tcPr>
          <w:p w14:paraId="749354BD" w14:textId="54ABCB69"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0987 *** (0</w:t>
            </w:r>
            <w:r w:rsidR="00516AEA" w:rsidRPr="009971F6">
              <w:rPr>
                <w:color w:val="000000"/>
                <w:sz w:val="22"/>
                <w:szCs w:val="22"/>
              </w:rPr>
              <w:t>,</w:t>
            </w:r>
            <w:r w:rsidRPr="009971F6">
              <w:rPr>
                <w:color w:val="000000"/>
                <w:sz w:val="22"/>
                <w:szCs w:val="22"/>
              </w:rPr>
              <w:t>00)</w:t>
            </w:r>
          </w:p>
        </w:tc>
        <w:tc>
          <w:tcPr>
            <w:tcW w:w="1197" w:type="dxa"/>
            <w:tcBorders>
              <w:top w:val="nil"/>
              <w:left w:val="nil"/>
              <w:bottom w:val="nil"/>
              <w:right w:val="nil"/>
            </w:tcBorders>
            <w:shd w:val="clear" w:color="auto" w:fill="auto"/>
            <w:vAlign w:val="center"/>
            <w:hideMark/>
          </w:tcPr>
          <w:p w14:paraId="5326C63A" w14:textId="7A2BB9EB"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1115 *** (0</w:t>
            </w:r>
            <w:r w:rsidR="00516AEA" w:rsidRPr="009971F6">
              <w:rPr>
                <w:color w:val="000000"/>
                <w:sz w:val="22"/>
                <w:szCs w:val="22"/>
              </w:rPr>
              <w:t>,</w:t>
            </w:r>
            <w:r w:rsidRPr="009971F6">
              <w:rPr>
                <w:color w:val="000000"/>
                <w:sz w:val="22"/>
                <w:szCs w:val="22"/>
              </w:rPr>
              <w:t>00)</w:t>
            </w:r>
          </w:p>
        </w:tc>
        <w:tc>
          <w:tcPr>
            <w:tcW w:w="1197" w:type="dxa"/>
            <w:tcBorders>
              <w:top w:val="nil"/>
              <w:left w:val="single" w:sz="4" w:space="0" w:color="auto"/>
              <w:bottom w:val="nil"/>
              <w:right w:val="nil"/>
            </w:tcBorders>
            <w:shd w:val="clear" w:color="auto" w:fill="auto"/>
            <w:vAlign w:val="center"/>
            <w:hideMark/>
          </w:tcPr>
          <w:p w14:paraId="118F8ABF" w14:textId="5EAE95AA"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4571 *** (0</w:t>
            </w:r>
            <w:r w:rsidR="00516AEA" w:rsidRPr="009971F6">
              <w:rPr>
                <w:color w:val="000000"/>
                <w:sz w:val="22"/>
                <w:szCs w:val="22"/>
              </w:rPr>
              <w:t>,</w:t>
            </w:r>
            <w:r w:rsidRPr="009971F6">
              <w:rPr>
                <w:color w:val="000000"/>
                <w:sz w:val="22"/>
                <w:szCs w:val="22"/>
              </w:rPr>
              <w:t>00)</w:t>
            </w:r>
          </w:p>
        </w:tc>
        <w:tc>
          <w:tcPr>
            <w:tcW w:w="1419" w:type="dxa"/>
            <w:tcBorders>
              <w:top w:val="nil"/>
              <w:left w:val="nil"/>
              <w:bottom w:val="nil"/>
              <w:right w:val="nil"/>
            </w:tcBorders>
            <w:shd w:val="clear" w:color="auto" w:fill="auto"/>
            <w:vAlign w:val="center"/>
            <w:hideMark/>
          </w:tcPr>
          <w:p w14:paraId="4ACA7589" w14:textId="11EB3B6D"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0988 *** (0</w:t>
            </w:r>
            <w:r w:rsidR="00516AEA" w:rsidRPr="009971F6">
              <w:rPr>
                <w:color w:val="000000"/>
                <w:sz w:val="22"/>
                <w:szCs w:val="22"/>
              </w:rPr>
              <w:t>,</w:t>
            </w:r>
            <w:r w:rsidRPr="009971F6">
              <w:rPr>
                <w:color w:val="000000"/>
                <w:sz w:val="22"/>
                <w:szCs w:val="22"/>
              </w:rPr>
              <w:t>00)</w:t>
            </w:r>
          </w:p>
        </w:tc>
        <w:tc>
          <w:tcPr>
            <w:tcW w:w="1565" w:type="dxa"/>
            <w:tcBorders>
              <w:top w:val="nil"/>
              <w:left w:val="nil"/>
              <w:bottom w:val="nil"/>
              <w:right w:val="nil"/>
            </w:tcBorders>
            <w:shd w:val="clear" w:color="auto" w:fill="auto"/>
            <w:vAlign w:val="center"/>
            <w:hideMark/>
          </w:tcPr>
          <w:p w14:paraId="540BF2CB" w14:textId="04A2890B"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 xml:space="preserve">1114 </w:t>
            </w:r>
            <w:r w:rsidR="00E04163" w:rsidRPr="009971F6">
              <w:rPr>
                <w:color w:val="000000"/>
                <w:sz w:val="22"/>
                <w:szCs w:val="22"/>
              </w:rPr>
              <w:t xml:space="preserve">   </w:t>
            </w:r>
            <w:r w:rsidRPr="009971F6">
              <w:rPr>
                <w:color w:val="000000"/>
                <w:sz w:val="22"/>
                <w:szCs w:val="22"/>
              </w:rPr>
              <w:t>*** (0</w:t>
            </w:r>
            <w:r w:rsidR="00516AEA" w:rsidRPr="009971F6">
              <w:rPr>
                <w:color w:val="000000"/>
                <w:sz w:val="22"/>
                <w:szCs w:val="22"/>
              </w:rPr>
              <w:t>,</w:t>
            </w:r>
            <w:r w:rsidRPr="009971F6">
              <w:rPr>
                <w:color w:val="000000"/>
                <w:sz w:val="22"/>
                <w:szCs w:val="22"/>
              </w:rPr>
              <w:t>00)</w:t>
            </w:r>
          </w:p>
        </w:tc>
      </w:tr>
      <w:tr w:rsidR="00E04163" w:rsidRPr="009971F6" w14:paraId="75A12189" w14:textId="77777777" w:rsidTr="0061318A">
        <w:trPr>
          <w:trHeight w:val="548"/>
        </w:trPr>
        <w:tc>
          <w:tcPr>
            <w:tcW w:w="1300" w:type="dxa"/>
            <w:tcBorders>
              <w:top w:val="nil"/>
              <w:left w:val="nil"/>
              <w:bottom w:val="nil"/>
              <w:right w:val="nil"/>
            </w:tcBorders>
            <w:shd w:val="clear" w:color="auto" w:fill="auto"/>
            <w:noWrap/>
            <w:vAlign w:val="center"/>
            <w:hideMark/>
          </w:tcPr>
          <w:p w14:paraId="4343FDBE" w14:textId="77777777" w:rsidR="007C1CA8" w:rsidRPr="009971F6" w:rsidRDefault="007C1CA8" w:rsidP="00D3677A">
            <w:pPr>
              <w:spacing w:line="360" w:lineRule="auto"/>
              <w:rPr>
                <w:color w:val="000000"/>
                <w:sz w:val="22"/>
                <w:szCs w:val="22"/>
              </w:rPr>
            </w:pPr>
            <w:r w:rsidRPr="009971F6">
              <w:rPr>
                <w:color w:val="000000"/>
                <w:sz w:val="22"/>
                <w:szCs w:val="22"/>
              </w:rPr>
              <w:t>ln Valor médio de multas</w:t>
            </w:r>
          </w:p>
        </w:tc>
        <w:tc>
          <w:tcPr>
            <w:tcW w:w="1197" w:type="dxa"/>
            <w:tcBorders>
              <w:top w:val="nil"/>
              <w:left w:val="nil"/>
              <w:bottom w:val="nil"/>
              <w:right w:val="nil"/>
            </w:tcBorders>
            <w:shd w:val="clear" w:color="auto" w:fill="auto"/>
            <w:vAlign w:val="center"/>
            <w:hideMark/>
          </w:tcPr>
          <w:p w14:paraId="226A3472" w14:textId="6C5EC1D5"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 xml:space="preserve">0049 </w:t>
            </w:r>
            <w:r w:rsidR="00E04163" w:rsidRPr="009971F6">
              <w:rPr>
                <w:color w:val="000000"/>
                <w:sz w:val="22"/>
                <w:szCs w:val="22"/>
              </w:rPr>
              <w:t xml:space="preserve">   </w:t>
            </w:r>
            <w:r w:rsidRPr="009971F6">
              <w:rPr>
                <w:color w:val="000000"/>
                <w:sz w:val="22"/>
                <w:szCs w:val="22"/>
              </w:rPr>
              <w:t>*** (0</w:t>
            </w:r>
            <w:r w:rsidR="00516AEA" w:rsidRPr="009971F6">
              <w:rPr>
                <w:color w:val="000000"/>
                <w:sz w:val="22"/>
                <w:szCs w:val="22"/>
              </w:rPr>
              <w:t>,</w:t>
            </w:r>
            <w:r w:rsidRPr="009971F6">
              <w:rPr>
                <w:color w:val="000000"/>
                <w:sz w:val="22"/>
                <w:szCs w:val="22"/>
              </w:rPr>
              <w:t>00)</w:t>
            </w:r>
          </w:p>
        </w:tc>
        <w:tc>
          <w:tcPr>
            <w:tcW w:w="1197" w:type="dxa"/>
            <w:tcBorders>
              <w:top w:val="nil"/>
              <w:left w:val="nil"/>
              <w:bottom w:val="nil"/>
              <w:right w:val="nil"/>
            </w:tcBorders>
            <w:shd w:val="clear" w:color="auto" w:fill="auto"/>
            <w:vAlign w:val="center"/>
            <w:hideMark/>
          </w:tcPr>
          <w:p w14:paraId="5F6ACBC2" w14:textId="2AC10159"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0009 *** (0</w:t>
            </w:r>
            <w:r w:rsidR="00516AEA" w:rsidRPr="009971F6">
              <w:rPr>
                <w:color w:val="000000"/>
                <w:sz w:val="22"/>
                <w:szCs w:val="22"/>
              </w:rPr>
              <w:t>,</w:t>
            </w:r>
            <w:r w:rsidRPr="009971F6">
              <w:rPr>
                <w:color w:val="000000"/>
                <w:sz w:val="22"/>
                <w:szCs w:val="22"/>
              </w:rPr>
              <w:t>00)</w:t>
            </w:r>
          </w:p>
        </w:tc>
        <w:tc>
          <w:tcPr>
            <w:tcW w:w="1197" w:type="dxa"/>
            <w:tcBorders>
              <w:top w:val="nil"/>
              <w:left w:val="nil"/>
              <w:bottom w:val="nil"/>
              <w:right w:val="nil"/>
            </w:tcBorders>
            <w:shd w:val="clear" w:color="auto" w:fill="auto"/>
            <w:vAlign w:val="center"/>
            <w:hideMark/>
          </w:tcPr>
          <w:p w14:paraId="1F17C338" w14:textId="248D87B4"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0009 *** (0</w:t>
            </w:r>
            <w:r w:rsidR="00516AEA" w:rsidRPr="009971F6">
              <w:rPr>
                <w:color w:val="000000"/>
                <w:sz w:val="22"/>
                <w:szCs w:val="22"/>
              </w:rPr>
              <w:t>,</w:t>
            </w:r>
            <w:r w:rsidRPr="009971F6">
              <w:rPr>
                <w:color w:val="000000"/>
                <w:sz w:val="22"/>
                <w:szCs w:val="22"/>
              </w:rPr>
              <w:t>00)</w:t>
            </w:r>
          </w:p>
        </w:tc>
        <w:tc>
          <w:tcPr>
            <w:tcW w:w="1197" w:type="dxa"/>
            <w:tcBorders>
              <w:top w:val="nil"/>
              <w:left w:val="single" w:sz="4" w:space="0" w:color="auto"/>
              <w:bottom w:val="nil"/>
              <w:right w:val="nil"/>
            </w:tcBorders>
            <w:shd w:val="clear" w:color="auto" w:fill="auto"/>
            <w:vAlign w:val="center"/>
            <w:hideMark/>
          </w:tcPr>
          <w:p w14:paraId="6DA90AD7" w14:textId="45EF258D"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 xml:space="preserve">0047 </w:t>
            </w:r>
            <w:r w:rsidR="00E04163" w:rsidRPr="009971F6">
              <w:rPr>
                <w:color w:val="000000"/>
                <w:sz w:val="22"/>
                <w:szCs w:val="22"/>
              </w:rPr>
              <w:t xml:space="preserve">   </w:t>
            </w:r>
            <w:r w:rsidRPr="009971F6">
              <w:rPr>
                <w:color w:val="000000"/>
                <w:sz w:val="22"/>
                <w:szCs w:val="22"/>
              </w:rPr>
              <w:t>*** (0</w:t>
            </w:r>
            <w:r w:rsidR="00516AEA" w:rsidRPr="009971F6">
              <w:rPr>
                <w:color w:val="000000"/>
                <w:sz w:val="22"/>
                <w:szCs w:val="22"/>
              </w:rPr>
              <w:t>,</w:t>
            </w:r>
            <w:r w:rsidRPr="009971F6">
              <w:rPr>
                <w:color w:val="000000"/>
                <w:sz w:val="22"/>
                <w:szCs w:val="22"/>
              </w:rPr>
              <w:t>00)</w:t>
            </w:r>
          </w:p>
        </w:tc>
        <w:tc>
          <w:tcPr>
            <w:tcW w:w="1419" w:type="dxa"/>
            <w:tcBorders>
              <w:top w:val="nil"/>
              <w:left w:val="nil"/>
              <w:bottom w:val="nil"/>
              <w:right w:val="nil"/>
            </w:tcBorders>
            <w:shd w:val="clear" w:color="auto" w:fill="auto"/>
            <w:vAlign w:val="center"/>
            <w:hideMark/>
          </w:tcPr>
          <w:p w14:paraId="0911CF99" w14:textId="14F7C564"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0010</w:t>
            </w:r>
            <w:r w:rsidR="00E04163" w:rsidRPr="009971F6">
              <w:rPr>
                <w:color w:val="000000"/>
                <w:sz w:val="22"/>
                <w:szCs w:val="22"/>
              </w:rPr>
              <w:t xml:space="preserve">    </w:t>
            </w:r>
            <w:r w:rsidRPr="009971F6">
              <w:rPr>
                <w:color w:val="000000"/>
                <w:sz w:val="22"/>
                <w:szCs w:val="22"/>
              </w:rPr>
              <w:t xml:space="preserve"> *** (0</w:t>
            </w:r>
            <w:r w:rsidR="00516AEA" w:rsidRPr="009971F6">
              <w:rPr>
                <w:color w:val="000000"/>
                <w:sz w:val="22"/>
                <w:szCs w:val="22"/>
              </w:rPr>
              <w:t>,</w:t>
            </w:r>
            <w:r w:rsidRPr="009971F6">
              <w:rPr>
                <w:color w:val="000000"/>
                <w:sz w:val="22"/>
                <w:szCs w:val="22"/>
              </w:rPr>
              <w:t>00)</w:t>
            </w:r>
          </w:p>
        </w:tc>
        <w:tc>
          <w:tcPr>
            <w:tcW w:w="1565" w:type="dxa"/>
            <w:tcBorders>
              <w:top w:val="nil"/>
              <w:left w:val="nil"/>
              <w:bottom w:val="nil"/>
              <w:right w:val="nil"/>
            </w:tcBorders>
            <w:shd w:val="clear" w:color="auto" w:fill="auto"/>
            <w:vAlign w:val="center"/>
            <w:hideMark/>
          </w:tcPr>
          <w:p w14:paraId="0B55CCDE" w14:textId="6FCA1504"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0010</w:t>
            </w:r>
            <w:r w:rsidR="00E04163" w:rsidRPr="009971F6">
              <w:rPr>
                <w:color w:val="000000"/>
                <w:sz w:val="22"/>
                <w:szCs w:val="22"/>
              </w:rPr>
              <w:t xml:space="preserve">  </w:t>
            </w:r>
            <w:r w:rsidR="0012205A" w:rsidRPr="009971F6">
              <w:rPr>
                <w:color w:val="000000"/>
                <w:sz w:val="22"/>
                <w:szCs w:val="22"/>
              </w:rPr>
              <w:t xml:space="preserve"> </w:t>
            </w:r>
            <w:r w:rsidRPr="009971F6">
              <w:rPr>
                <w:color w:val="000000"/>
                <w:sz w:val="22"/>
                <w:szCs w:val="22"/>
              </w:rPr>
              <w:t xml:space="preserve"> *** (0</w:t>
            </w:r>
            <w:r w:rsidR="00516AEA" w:rsidRPr="009971F6">
              <w:rPr>
                <w:color w:val="000000"/>
                <w:sz w:val="22"/>
                <w:szCs w:val="22"/>
              </w:rPr>
              <w:t>,</w:t>
            </w:r>
            <w:r w:rsidRPr="009971F6">
              <w:rPr>
                <w:color w:val="000000"/>
                <w:sz w:val="22"/>
                <w:szCs w:val="22"/>
              </w:rPr>
              <w:t>00)</w:t>
            </w:r>
          </w:p>
        </w:tc>
      </w:tr>
      <w:tr w:rsidR="00E04163" w:rsidRPr="009971F6" w14:paraId="347FBA63" w14:textId="77777777" w:rsidTr="0061318A">
        <w:trPr>
          <w:trHeight w:val="548"/>
        </w:trPr>
        <w:tc>
          <w:tcPr>
            <w:tcW w:w="1300" w:type="dxa"/>
            <w:tcBorders>
              <w:top w:val="nil"/>
              <w:left w:val="nil"/>
              <w:bottom w:val="nil"/>
              <w:right w:val="nil"/>
            </w:tcBorders>
            <w:shd w:val="clear" w:color="auto" w:fill="auto"/>
            <w:noWrap/>
            <w:vAlign w:val="center"/>
            <w:hideMark/>
          </w:tcPr>
          <w:p w14:paraId="41906A26" w14:textId="77777777" w:rsidR="007C1CA8" w:rsidRPr="009971F6" w:rsidRDefault="007C1CA8" w:rsidP="00D3677A">
            <w:pPr>
              <w:spacing w:line="360" w:lineRule="auto"/>
              <w:rPr>
                <w:color w:val="000000"/>
                <w:sz w:val="22"/>
                <w:szCs w:val="22"/>
              </w:rPr>
            </w:pPr>
            <w:r w:rsidRPr="009971F6">
              <w:rPr>
                <w:color w:val="000000"/>
                <w:sz w:val="22"/>
                <w:szCs w:val="22"/>
              </w:rPr>
              <w:t>ln Densidade demográfica</w:t>
            </w:r>
          </w:p>
        </w:tc>
        <w:tc>
          <w:tcPr>
            <w:tcW w:w="1197" w:type="dxa"/>
            <w:tcBorders>
              <w:top w:val="nil"/>
              <w:left w:val="nil"/>
              <w:bottom w:val="nil"/>
              <w:right w:val="nil"/>
            </w:tcBorders>
            <w:shd w:val="clear" w:color="auto" w:fill="auto"/>
            <w:vAlign w:val="center"/>
            <w:hideMark/>
          </w:tcPr>
          <w:p w14:paraId="5C450480" w14:textId="12774784"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1083</w:t>
            </w:r>
            <w:r w:rsidR="00E04163" w:rsidRPr="009971F6">
              <w:rPr>
                <w:color w:val="000000"/>
                <w:sz w:val="22"/>
                <w:szCs w:val="22"/>
              </w:rPr>
              <w:t xml:space="preserve"> </w:t>
            </w:r>
            <w:r w:rsidRPr="009971F6">
              <w:rPr>
                <w:color w:val="000000"/>
                <w:sz w:val="22"/>
                <w:szCs w:val="22"/>
              </w:rPr>
              <w:t>*** (0</w:t>
            </w:r>
            <w:r w:rsidR="00516AEA" w:rsidRPr="009971F6">
              <w:rPr>
                <w:color w:val="000000"/>
                <w:sz w:val="22"/>
                <w:szCs w:val="22"/>
              </w:rPr>
              <w:t>,</w:t>
            </w:r>
            <w:r w:rsidRPr="009971F6">
              <w:rPr>
                <w:color w:val="000000"/>
                <w:sz w:val="22"/>
                <w:szCs w:val="22"/>
              </w:rPr>
              <w:t>00)</w:t>
            </w:r>
          </w:p>
        </w:tc>
        <w:tc>
          <w:tcPr>
            <w:tcW w:w="1197" w:type="dxa"/>
            <w:tcBorders>
              <w:top w:val="nil"/>
              <w:left w:val="nil"/>
              <w:bottom w:val="nil"/>
              <w:right w:val="nil"/>
            </w:tcBorders>
            <w:shd w:val="clear" w:color="auto" w:fill="auto"/>
            <w:vAlign w:val="center"/>
            <w:hideMark/>
          </w:tcPr>
          <w:p w14:paraId="5ECA9464" w14:textId="5376B684"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0403 *** (0</w:t>
            </w:r>
            <w:r w:rsidR="00516AEA" w:rsidRPr="009971F6">
              <w:rPr>
                <w:color w:val="000000"/>
                <w:sz w:val="22"/>
                <w:szCs w:val="22"/>
              </w:rPr>
              <w:t>,</w:t>
            </w:r>
            <w:r w:rsidRPr="009971F6">
              <w:rPr>
                <w:color w:val="000000"/>
                <w:sz w:val="22"/>
                <w:szCs w:val="22"/>
              </w:rPr>
              <w:t>00)</w:t>
            </w:r>
          </w:p>
        </w:tc>
        <w:tc>
          <w:tcPr>
            <w:tcW w:w="1197" w:type="dxa"/>
            <w:tcBorders>
              <w:top w:val="nil"/>
              <w:left w:val="nil"/>
              <w:bottom w:val="nil"/>
              <w:right w:val="nil"/>
            </w:tcBorders>
            <w:shd w:val="clear" w:color="auto" w:fill="auto"/>
            <w:vAlign w:val="center"/>
            <w:hideMark/>
          </w:tcPr>
          <w:p w14:paraId="1CAB9DC4" w14:textId="456775F1"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0571 *** (0</w:t>
            </w:r>
            <w:r w:rsidR="00516AEA" w:rsidRPr="009971F6">
              <w:rPr>
                <w:color w:val="000000"/>
                <w:sz w:val="22"/>
                <w:szCs w:val="22"/>
              </w:rPr>
              <w:t>,</w:t>
            </w:r>
            <w:r w:rsidRPr="009971F6">
              <w:rPr>
                <w:color w:val="000000"/>
                <w:sz w:val="22"/>
                <w:szCs w:val="22"/>
              </w:rPr>
              <w:t>00)</w:t>
            </w:r>
          </w:p>
        </w:tc>
        <w:tc>
          <w:tcPr>
            <w:tcW w:w="1197" w:type="dxa"/>
            <w:tcBorders>
              <w:top w:val="nil"/>
              <w:left w:val="single" w:sz="4" w:space="0" w:color="auto"/>
              <w:bottom w:val="nil"/>
              <w:right w:val="nil"/>
            </w:tcBorders>
            <w:shd w:val="clear" w:color="auto" w:fill="auto"/>
            <w:vAlign w:val="center"/>
            <w:hideMark/>
          </w:tcPr>
          <w:p w14:paraId="7ED02F15" w14:textId="6CD1F2FD"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1072 *** (0</w:t>
            </w:r>
            <w:r w:rsidR="00516AEA" w:rsidRPr="009971F6">
              <w:rPr>
                <w:color w:val="000000"/>
                <w:sz w:val="22"/>
                <w:szCs w:val="22"/>
              </w:rPr>
              <w:t>,</w:t>
            </w:r>
            <w:r w:rsidRPr="009971F6">
              <w:rPr>
                <w:color w:val="000000"/>
                <w:sz w:val="22"/>
                <w:szCs w:val="22"/>
              </w:rPr>
              <w:t>00)</w:t>
            </w:r>
          </w:p>
        </w:tc>
        <w:tc>
          <w:tcPr>
            <w:tcW w:w="1419" w:type="dxa"/>
            <w:tcBorders>
              <w:top w:val="nil"/>
              <w:left w:val="nil"/>
              <w:bottom w:val="nil"/>
              <w:right w:val="nil"/>
            </w:tcBorders>
            <w:shd w:val="clear" w:color="auto" w:fill="auto"/>
            <w:vAlign w:val="center"/>
            <w:hideMark/>
          </w:tcPr>
          <w:p w14:paraId="13AB3264" w14:textId="052FC35D"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 xml:space="preserve">0395 </w:t>
            </w:r>
            <w:r w:rsidR="00E04163" w:rsidRPr="009971F6">
              <w:rPr>
                <w:color w:val="000000"/>
                <w:sz w:val="22"/>
                <w:szCs w:val="22"/>
              </w:rPr>
              <w:t xml:space="preserve">    </w:t>
            </w:r>
            <w:r w:rsidRPr="009971F6">
              <w:rPr>
                <w:color w:val="000000"/>
                <w:sz w:val="22"/>
                <w:szCs w:val="22"/>
              </w:rPr>
              <w:t>*** (0</w:t>
            </w:r>
            <w:r w:rsidR="00516AEA" w:rsidRPr="009971F6">
              <w:rPr>
                <w:color w:val="000000"/>
                <w:sz w:val="22"/>
                <w:szCs w:val="22"/>
              </w:rPr>
              <w:t>,</w:t>
            </w:r>
            <w:r w:rsidRPr="009971F6">
              <w:rPr>
                <w:color w:val="000000"/>
                <w:sz w:val="22"/>
                <w:szCs w:val="22"/>
              </w:rPr>
              <w:t>00)</w:t>
            </w:r>
          </w:p>
        </w:tc>
        <w:tc>
          <w:tcPr>
            <w:tcW w:w="1565" w:type="dxa"/>
            <w:tcBorders>
              <w:top w:val="nil"/>
              <w:left w:val="nil"/>
              <w:bottom w:val="nil"/>
              <w:right w:val="nil"/>
            </w:tcBorders>
            <w:shd w:val="clear" w:color="auto" w:fill="auto"/>
            <w:vAlign w:val="center"/>
            <w:hideMark/>
          </w:tcPr>
          <w:p w14:paraId="29B8E040" w14:textId="3B3944D5"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 xml:space="preserve">0565 </w:t>
            </w:r>
            <w:r w:rsidR="00E04163" w:rsidRPr="009971F6">
              <w:rPr>
                <w:color w:val="000000"/>
                <w:sz w:val="22"/>
                <w:szCs w:val="22"/>
              </w:rPr>
              <w:t xml:space="preserve">   </w:t>
            </w:r>
            <w:r w:rsidRPr="009971F6">
              <w:rPr>
                <w:color w:val="000000"/>
                <w:sz w:val="22"/>
                <w:szCs w:val="22"/>
              </w:rPr>
              <w:t>*** (0</w:t>
            </w:r>
            <w:r w:rsidR="00516AEA" w:rsidRPr="009971F6">
              <w:rPr>
                <w:color w:val="000000"/>
                <w:sz w:val="22"/>
                <w:szCs w:val="22"/>
              </w:rPr>
              <w:t>,</w:t>
            </w:r>
            <w:r w:rsidRPr="009971F6">
              <w:rPr>
                <w:color w:val="000000"/>
                <w:sz w:val="22"/>
                <w:szCs w:val="22"/>
              </w:rPr>
              <w:t>00)</w:t>
            </w:r>
          </w:p>
        </w:tc>
      </w:tr>
      <w:tr w:rsidR="00E04163" w:rsidRPr="009971F6" w14:paraId="6EE3AF38" w14:textId="77777777" w:rsidTr="0061318A">
        <w:trPr>
          <w:trHeight w:val="274"/>
        </w:trPr>
        <w:tc>
          <w:tcPr>
            <w:tcW w:w="1300" w:type="dxa"/>
            <w:tcBorders>
              <w:top w:val="nil"/>
              <w:left w:val="nil"/>
              <w:bottom w:val="single" w:sz="4" w:space="0" w:color="auto"/>
              <w:right w:val="nil"/>
            </w:tcBorders>
            <w:shd w:val="clear" w:color="auto" w:fill="auto"/>
            <w:noWrap/>
            <w:vAlign w:val="center"/>
            <w:hideMark/>
          </w:tcPr>
          <w:p w14:paraId="231E3837" w14:textId="77777777" w:rsidR="007C1CA8" w:rsidRPr="009971F6" w:rsidRDefault="007C1CA8" w:rsidP="00D3677A">
            <w:pPr>
              <w:spacing w:line="360" w:lineRule="auto"/>
              <w:rPr>
                <w:color w:val="000000"/>
                <w:sz w:val="22"/>
                <w:szCs w:val="22"/>
              </w:rPr>
            </w:pPr>
            <w:r w:rsidRPr="009971F6">
              <w:rPr>
                <w:color w:val="000000"/>
                <w:sz w:val="22"/>
                <w:szCs w:val="22"/>
              </w:rPr>
              <w:t>R²</w:t>
            </w:r>
          </w:p>
        </w:tc>
        <w:tc>
          <w:tcPr>
            <w:tcW w:w="1197" w:type="dxa"/>
            <w:tcBorders>
              <w:top w:val="nil"/>
              <w:left w:val="nil"/>
              <w:bottom w:val="single" w:sz="4" w:space="0" w:color="auto"/>
              <w:right w:val="nil"/>
            </w:tcBorders>
            <w:shd w:val="clear" w:color="auto" w:fill="auto"/>
            <w:noWrap/>
            <w:vAlign w:val="center"/>
            <w:hideMark/>
          </w:tcPr>
          <w:p w14:paraId="595F5E0F" w14:textId="1F1260B8"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26099</w:t>
            </w:r>
          </w:p>
        </w:tc>
        <w:tc>
          <w:tcPr>
            <w:tcW w:w="1197" w:type="dxa"/>
            <w:tcBorders>
              <w:top w:val="nil"/>
              <w:left w:val="nil"/>
              <w:bottom w:val="single" w:sz="4" w:space="0" w:color="auto"/>
              <w:right w:val="nil"/>
            </w:tcBorders>
            <w:shd w:val="clear" w:color="auto" w:fill="auto"/>
            <w:noWrap/>
            <w:vAlign w:val="center"/>
            <w:hideMark/>
          </w:tcPr>
          <w:p w14:paraId="3AA85B9D" w14:textId="1F15354F"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018</w:t>
            </w:r>
          </w:p>
        </w:tc>
        <w:tc>
          <w:tcPr>
            <w:tcW w:w="1197" w:type="dxa"/>
            <w:tcBorders>
              <w:top w:val="nil"/>
              <w:left w:val="nil"/>
              <w:bottom w:val="single" w:sz="4" w:space="0" w:color="auto"/>
              <w:right w:val="nil"/>
            </w:tcBorders>
            <w:shd w:val="clear" w:color="auto" w:fill="auto"/>
            <w:noWrap/>
            <w:vAlign w:val="center"/>
            <w:hideMark/>
          </w:tcPr>
          <w:p w14:paraId="67CF5AAB" w14:textId="0BAACF99"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028</w:t>
            </w:r>
          </w:p>
        </w:tc>
        <w:tc>
          <w:tcPr>
            <w:tcW w:w="1197" w:type="dxa"/>
            <w:tcBorders>
              <w:top w:val="nil"/>
              <w:left w:val="single" w:sz="4" w:space="0" w:color="auto"/>
              <w:bottom w:val="single" w:sz="4" w:space="0" w:color="auto"/>
              <w:right w:val="nil"/>
            </w:tcBorders>
            <w:shd w:val="clear" w:color="auto" w:fill="auto"/>
            <w:noWrap/>
            <w:vAlign w:val="center"/>
            <w:hideMark/>
          </w:tcPr>
          <w:p w14:paraId="18D63AA6" w14:textId="32EAE764"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2592</w:t>
            </w:r>
          </w:p>
        </w:tc>
        <w:tc>
          <w:tcPr>
            <w:tcW w:w="1419" w:type="dxa"/>
            <w:tcBorders>
              <w:top w:val="nil"/>
              <w:left w:val="nil"/>
              <w:bottom w:val="single" w:sz="4" w:space="0" w:color="auto"/>
              <w:right w:val="nil"/>
            </w:tcBorders>
            <w:shd w:val="clear" w:color="auto" w:fill="auto"/>
            <w:noWrap/>
            <w:vAlign w:val="center"/>
            <w:hideMark/>
          </w:tcPr>
          <w:p w14:paraId="6D94B4B0" w14:textId="78BBB3C0"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017</w:t>
            </w:r>
          </w:p>
        </w:tc>
        <w:tc>
          <w:tcPr>
            <w:tcW w:w="1565" w:type="dxa"/>
            <w:tcBorders>
              <w:top w:val="nil"/>
              <w:left w:val="nil"/>
              <w:bottom w:val="single" w:sz="4" w:space="0" w:color="auto"/>
              <w:right w:val="nil"/>
            </w:tcBorders>
            <w:shd w:val="clear" w:color="auto" w:fill="auto"/>
            <w:noWrap/>
            <w:vAlign w:val="center"/>
            <w:hideMark/>
          </w:tcPr>
          <w:p w14:paraId="7CE4C197" w14:textId="53EBD771" w:rsidR="007C1CA8" w:rsidRPr="009971F6" w:rsidRDefault="007C1CA8" w:rsidP="00D3677A">
            <w:pPr>
              <w:spacing w:line="360" w:lineRule="auto"/>
              <w:jc w:val="center"/>
              <w:rPr>
                <w:color w:val="000000"/>
                <w:sz w:val="22"/>
                <w:szCs w:val="22"/>
              </w:rPr>
            </w:pPr>
            <w:r w:rsidRPr="009971F6">
              <w:rPr>
                <w:color w:val="000000"/>
                <w:sz w:val="22"/>
                <w:szCs w:val="22"/>
              </w:rPr>
              <w:t>0</w:t>
            </w:r>
            <w:r w:rsidR="00516AEA" w:rsidRPr="009971F6">
              <w:rPr>
                <w:color w:val="000000"/>
                <w:sz w:val="22"/>
                <w:szCs w:val="22"/>
              </w:rPr>
              <w:t>,</w:t>
            </w:r>
            <w:r w:rsidRPr="009971F6">
              <w:rPr>
                <w:color w:val="000000"/>
                <w:sz w:val="22"/>
                <w:szCs w:val="22"/>
              </w:rPr>
              <w:t>026</w:t>
            </w:r>
          </w:p>
        </w:tc>
      </w:tr>
    </w:tbl>
    <w:p w14:paraId="2050BE92" w14:textId="0DFE4E4D" w:rsidR="00E04163" w:rsidRPr="009971F6" w:rsidRDefault="00E04163" w:rsidP="0061318A">
      <w:pPr>
        <w:pStyle w:val="TextoCorridoABNT"/>
        <w:ind w:firstLine="0"/>
      </w:pPr>
      <w:r w:rsidRPr="009971F6">
        <w:t>Nota: *** significativo a 1%; ** significativo a 5%; * significativo a 10%.</w:t>
      </w:r>
    </w:p>
    <w:p w14:paraId="54666345" w14:textId="5F56CF04" w:rsidR="00136E97" w:rsidRPr="009971F6" w:rsidRDefault="00E04163" w:rsidP="0061318A">
      <w:pPr>
        <w:pStyle w:val="TextoCorridoABNT"/>
        <w:ind w:firstLine="0"/>
      </w:pPr>
      <w:r w:rsidRPr="009971F6">
        <w:t>Fonte: Resultados da pesquisa.</w:t>
      </w:r>
    </w:p>
    <w:p w14:paraId="460C2C0A" w14:textId="77777777" w:rsidR="00CB0AC4" w:rsidRPr="009971F6" w:rsidRDefault="00CB0AC4" w:rsidP="0061318A">
      <w:pPr>
        <w:pStyle w:val="TextoCorridoABNT"/>
        <w:ind w:firstLine="0"/>
      </w:pPr>
    </w:p>
    <w:p w14:paraId="360B9B03" w14:textId="066D70FB" w:rsidR="00E04163" w:rsidRPr="009971F6" w:rsidRDefault="00E04163" w:rsidP="00D3677A">
      <w:pPr>
        <w:pStyle w:val="TextoCorridoABNT"/>
      </w:pPr>
      <w:r w:rsidRPr="009971F6">
        <w:t xml:space="preserve">O PIB </w:t>
      </w:r>
      <w:r w:rsidRPr="009971F6">
        <w:rPr>
          <w:i/>
        </w:rPr>
        <w:t xml:space="preserve">per </w:t>
      </w:r>
      <w:r w:rsidR="00516AEA" w:rsidRPr="009971F6">
        <w:rPr>
          <w:i/>
        </w:rPr>
        <w:t>capita</w:t>
      </w:r>
      <w:r w:rsidR="00516AEA" w:rsidRPr="009971F6">
        <w:t xml:space="preserve"> em</w:t>
      </w:r>
      <w:r w:rsidRPr="009971F6">
        <w:t xml:space="preserve"> sua forma linear apresentou relação negativa com a proporção de cobertura florestal para todos os modelos, demonstrando que </w:t>
      </w:r>
      <w:r w:rsidR="0069525B" w:rsidRPr="009971F6">
        <w:t>à</w:t>
      </w:r>
      <w:r w:rsidRPr="009971F6">
        <w:t xml:space="preserve"> medida que este cresce, a cobertura florestal tende a diminuir. No modelo (2), o</w:t>
      </w:r>
      <w:r w:rsidR="0005520C" w:rsidRPr="009971F6">
        <w:t xml:space="preserve"> </w:t>
      </w:r>
      <w:r w:rsidRPr="009971F6">
        <w:t xml:space="preserve">regressor para o PIB </w:t>
      </w:r>
      <w:r w:rsidRPr="009971F6">
        <w:rPr>
          <w:i/>
        </w:rPr>
        <w:t xml:space="preserve">per capita </w:t>
      </w:r>
      <w:r w:rsidRPr="009971F6">
        <w:t xml:space="preserve">em sua forma linear não </w:t>
      </w:r>
      <w:r w:rsidR="0005520C" w:rsidRPr="009971F6">
        <w:t>se demonstrou</w:t>
      </w:r>
      <w:r w:rsidRPr="009971F6">
        <w:t xml:space="preserve"> </w:t>
      </w:r>
      <w:r w:rsidR="000F42BA" w:rsidRPr="009971F6">
        <w:t>estatisticamente</w:t>
      </w:r>
      <w:r w:rsidRPr="009971F6">
        <w:t xml:space="preserve"> significativo.</w:t>
      </w:r>
      <w:r w:rsidR="00B45000" w:rsidRPr="009971F6">
        <w:t xml:space="preserve"> A</w:t>
      </w:r>
      <w:r w:rsidR="0005520C" w:rsidRPr="009971F6">
        <w:t xml:space="preserve"> Sua forma quadrada se demonstrou estatisticamente significante e positivamente relacionada no modelo (1).</w:t>
      </w:r>
    </w:p>
    <w:p w14:paraId="72264587" w14:textId="6BA1983F" w:rsidR="00415811" w:rsidRPr="009971F6" w:rsidRDefault="00415811" w:rsidP="00D3677A">
      <w:pPr>
        <w:pStyle w:val="TextoCorridoABNT"/>
      </w:pPr>
      <w:r w:rsidRPr="009971F6">
        <w:lastRenderedPageBreak/>
        <w:t xml:space="preserve">A proporção do PIB agrícola em relação ao PIB total dos municípios apresentou-se negativamente relacionado com a proporção de cobertura florestal nos </w:t>
      </w:r>
      <w:r w:rsidR="00512BF3" w:rsidRPr="009971F6">
        <w:t>municípios</w:t>
      </w:r>
      <w:r w:rsidR="0072533F" w:rsidRPr="009971F6">
        <w:t xml:space="preserve">, ou seja, quanto maior a proporção do PIB agrícola de um município, menor será a cobertura florestal em relação a área total deste. Assim, para o modelo (1) com efeitos </w:t>
      </w:r>
      <w:r w:rsidR="0081784D" w:rsidRPr="009971F6">
        <w:t>fixos, um</w:t>
      </w:r>
      <w:r w:rsidR="0072533F" w:rsidRPr="009971F6">
        <w:t xml:space="preserve"> aumento de 1% na proporção do PIB agrícola em relação ao PIB total provoca uma diminuição, em média, de 0,0987 na proporção da cobertura florestal. </w:t>
      </w:r>
    </w:p>
    <w:p w14:paraId="1FEC9E21" w14:textId="3FCC61A7" w:rsidR="00B050F1" w:rsidRPr="009971F6" w:rsidRDefault="0060574F" w:rsidP="00D3677A">
      <w:pPr>
        <w:pStyle w:val="TextoCorridoABNT"/>
      </w:pPr>
      <w:r w:rsidRPr="009971F6">
        <w:t>Para os modelos de efeitos fixos e efeitos aleatórios, o regressor do valor médio de multas por km² desmatado no munícipio demonstrou-se</w:t>
      </w:r>
      <w:r w:rsidR="009B1730" w:rsidRPr="009971F6">
        <w:t xml:space="preserve"> estatisticamente significante e</w:t>
      </w:r>
      <w:r w:rsidRPr="009971F6">
        <w:t xml:space="preserve"> negativamente relacionado com a proporção florestal</w:t>
      </w:r>
      <w:r w:rsidR="009B1730" w:rsidRPr="009971F6">
        <w:t>.</w:t>
      </w:r>
    </w:p>
    <w:p w14:paraId="3546463E" w14:textId="697CD766" w:rsidR="0012205A" w:rsidRPr="009971F6" w:rsidRDefault="00F50288" w:rsidP="00D3677A">
      <w:pPr>
        <w:pStyle w:val="TextoCorridoABNT"/>
      </w:pPr>
      <w:r w:rsidRPr="009971F6">
        <w:t xml:space="preserve">A relação encontrada entre a densidade demográfica e a cobertura florestal demonstrou-se negativamente relacionada para todos os modelos. No modelo (1) com efeitos fixos, um aumento de 1% na densidade demográfica resulta, em média, em uma redução de 0,0403 na proporção florestal do município. </w:t>
      </w:r>
    </w:p>
    <w:p w14:paraId="5F92081E" w14:textId="77777777" w:rsidR="00F50288" w:rsidRPr="009971F6" w:rsidRDefault="00F50288" w:rsidP="00D3677A">
      <w:pPr>
        <w:pStyle w:val="TextoCorridoABNT"/>
      </w:pPr>
    </w:p>
    <w:p w14:paraId="682D7905" w14:textId="5FD53D4B" w:rsidR="008A464B" w:rsidRPr="009971F6" w:rsidRDefault="00CB0AC4" w:rsidP="0061318A">
      <w:pPr>
        <w:pStyle w:val="Ttulo2"/>
        <w:spacing w:before="0" w:after="0"/>
        <w:ind w:firstLine="0"/>
        <w:rPr>
          <w:b/>
          <w:bCs/>
        </w:rPr>
      </w:pPr>
      <w:bookmarkStart w:id="17" w:name="_Toc130219031"/>
      <w:r w:rsidRPr="009971F6">
        <w:rPr>
          <w:b/>
          <w:bCs/>
        </w:rPr>
        <w:t>4</w:t>
      </w:r>
      <w:r w:rsidR="0061318A" w:rsidRPr="009971F6">
        <w:rPr>
          <w:b/>
          <w:bCs/>
        </w:rPr>
        <w:t>.3</w:t>
      </w:r>
      <w:r w:rsidR="00573D67" w:rsidRPr="009971F6">
        <w:rPr>
          <w:b/>
          <w:bCs/>
        </w:rPr>
        <w:t xml:space="preserve"> D</w:t>
      </w:r>
      <w:r w:rsidR="0061318A" w:rsidRPr="009971F6">
        <w:rPr>
          <w:b/>
          <w:bCs/>
        </w:rPr>
        <w:t>iscussão dos resultados</w:t>
      </w:r>
      <w:bookmarkEnd w:id="17"/>
    </w:p>
    <w:p w14:paraId="73A0FCA6" w14:textId="74059CA8" w:rsidR="009B1730" w:rsidRPr="009971F6" w:rsidRDefault="009B1730" w:rsidP="00D3677A">
      <w:pPr>
        <w:pStyle w:val="TextoCorridoABNT"/>
      </w:pPr>
      <w:r w:rsidRPr="009971F6">
        <w:t xml:space="preserve">Os testes de Haumann </w:t>
      </w:r>
      <w:r w:rsidR="009268D8" w:rsidRPr="009971F6">
        <w:t>(1978)</w:t>
      </w:r>
      <w:r w:rsidR="00B45000" w:rsidRPr="009971F6">
        <w:t>, Chow (1960) e</w:t>
      </w:r>
      <w:r w:rsidR="009268D8" w:rsidRPr="009971F6">
        <w:t xml:space="preserve"> </w:t>
      </w:r>
      <w:r w:rsidRPr="009971F6">
        <w:t xml:space="preserve"> Breusch</w:t>
      </w:r>
      <w:r w:rsidR="009268D8" w:rsidRPr="009971F6">
        <w:t xml:space="preserve"> e </w:t>
      </w:r>
      <w:r w:rsidRPr="009971F6">
        <w:t xml:space="preserve">Pagan </w:t>
      </w:r>
      <w:r w:rsidR="009268D8" w:rsidRPr="009971F6">
        <w:t xml:space="preserve">(1979) </w:t>
      </w:r>
      <w:r w:rsidRPr="009971F6">
        <w:t>demonstraram a preferência pelo modelo de efeitos fixos em detrimento dos modelos de efeitos aleatórios ou de dados empilhados (</w:t>
      </w:r>
      <w:r w:rsidR="0005520C" w:rsidRPr="009971F6">
        <w:rPr>
          <w:i/>
          <w:iCs/>
        </w:rPr>
        <w:t>p</w:t>
      </w:r>
      <w:r w:rsidRPr="009971F6">
        <w:rPr>
          <w:i/>
          <w:iCs/>
        </w:rPr>
        <w:t>ooled</w:t>
      </w:r>
      <w:r w:rsidRPr="009971F6">
        <w:t xml:space="preserve">). O modelo (1), que conta com a variável PIB </w:t>
      </w:r>
      <w:r w:rsidRPr="009971F6">
        <w:rPr>
          <w:i/>
          <w:iCs/>
        </w:rPr>
        <w:t>per capita</w:t>
      </w:r>
      <w:r w:rsidRPr="009971F6">
        <w:t xml:space="preserve"> em sua forma linear e sua forma elevada à segunda potência, e o modelo (2), que conta somente com a variável em sua forma linear, demonstraram critérios de informação e R² muito semelhantes. Todavia, no modelo (2) a variável PIB </w:t>
      </w:r>
      <w:r w:rsidRPr="009971F6">
        <w:rPr>
          <w:i/>
          <w:iCs/>
        </w:rPr>
        <w:t xml:space="preserve">per capita </w:t>
      </w:r>
      <w:r w:rsidRPr="009971F6">
        <w:t>não se demonstrou estatisticamente significativa.</w:t>
      </w:r>
    </w:p>
    <w:p w14:paraId="1AB285DC" w14:textId="3D49B4D8" w:rsidR="0005520C" w:rsidRPr="009971F6" w:rsidRDefault="0005520C" w:rsidP="00D3677A">
      <w:pPr>
        <w:pStyle w:val="TextoCorridoABNT"/>
      </w:pPr>
      <w:r w:rsidRPr="009971F6">
        <w:t xml:space="preserve">As relações encontradas para as duas formas utilizadas do PIB </w:t>
      </w:r>
      <w:r w:rsidRPr="009971F6">
        <w:rPr>
          <w:i/>
          <w:iCs/>
        </w:rPr>
        <w:t>per capita</w:t>
      </w:r>
      <w:r w:rsidRPr="009971F6">
        <w:t xml:space="preserve"> demonstram que inicialmente </w:t>
      </w:r>
      <w:r w:rsidR="0091690C" w:rsidRPr="009971F6">
        <w:t>existe uma tendência de redução d</w:t>
      </w:r>
      <w:r w:rsidRPr="009971F6">
        <w:t>a cobertura florestal da região. Essa relação se inverte a partir de um determinado nível</w:t>
      </w:r>
      <w:r w:rsidR="00344DF5" w:rsidRPr="009971F6">
        <w:t xml:space="preserve"> de renda</w:t>
      </w:r>
      <w:r w:rsidRPr="009971F6">
        <w:t xml:space="preserve">, no qual </w:t>
      </w:r>
      <w:r w:rsidR="00462228" w:rsidRPr="009971F6">
        <w:t>aumentos n</w:t>
      </w:r>
      <w:r w:rsidRPr="009971F6">
        <w:t xml:space="preserve">o PIB </w:t>
      </w:r>
      <w:r w:rsidRPr="009971F6">
        <w:rPr>
          <w:i/>
          <w:iCs/>
        </w:rPr>
        <w:t>per capita</w:t>
      </w:r>
      <w:r w:rsidRPr="009971F6">
        <w:t xml:space="preserve"> </w:t>
      </w:r>
      <w:r w:rsidR="00462228" w:rsidRPr="009971F6">
        <w:t>geram aumentos</w:t>
      </w:r>
      <w:r w:rsidR="00857459" w:rsidRPr="009971F6">
        <w:t xml:space="preserve"> </w:t>
      </w:r>
      <w:r w:rsidR="00462228" w:rsidRPr="009971F6">
        <w:t>n</w:t>
      </w:r>
      <w:r w:rsidR="00857459" w:rsidRPr="009971F6">
        <w:t xml:space="preserve">a cobertura florestal do local. Esse comportamento é indicativo de que a curva de transição florestal da Amazônia Legal </w:t>
      </w:r>
      <w:r w:rsidR="00937BE6" w:rsidRPr="009971F6">
        <w:t>apresenta</w:t>
      </w:r>
      <w:r w:rsidR="00857459" w:rsidRPr="009971F6">
        <w:t xml:space="preserve"> formato de “U”, conforme proposto pela TTF.</w:t>
      </w:r>
    </w:p>
    <w:p w14:paraId="7A530F8E" w14:textId="0EC4E091" w:rsidR="009E3F12" w:rsidRPr="009971F6" w:rsidRDefault="009E3F12" w:rsidP="00D3677A">
      <w:pPr>
        <w:pStyle w:val="TextoCorridoABNT"/>
      </w:pPr>
      <w:r w:rsidRPr="009971F6">
        <w:t>Para o modelo (1) de efeitos fixos</w:t>
      </w:r>
      <w:r w:rsidR="0081784D" w:rsidRPr="009971F6">
        <w:t xml:space="preserve"> </w:t>
      </w:r>
      <w:r w:rsidRPr="009971F6">
        <w:t xml:space="preserve">o nível de renda no qual o PIB </w:t>
      </w:r>
      <w:r w:rsidRPr="009971F6">
        <w:rPr>
          <w:i/>
          <w:iCs/>
        </w:rPr>
        <w:t>per capita</w:t>
      </w:r>
      <w:r w:rsidRPr="009971F6">
        <w:t xml:space="preserve"> começa a influenciar positivamente a proporção florestal nos municípios é de aproximadamente R$ 24,5</w:t>
      </w:r>
      <w:r w:rsidR="00FA7EFB" w:rsidRPr="009971F6">
        <w:t>32</w:t>
      </w:r>
      <w:r w:rsidRPr="009971F6">
        <w:t xml:space="preserve"> mil. Assim, em 2020, dos 760 municípios analisados </w:t>
      </w:r>
      <w:r w:rsidR="00FA7EFB" w:rsidRPr="009971F6">
        <w:t>para a</w:t>
      </w:r>
      <w:r w:rsidRPr="009971F6">
        <w:t xml:space="preserve"> Amazônia Legal, 221 se encontram </w:t>
      </w:r>
      <w:r w:rsidR="00FA7EFB" w:rsidRPr="009971F6">
        <w:t xml:space="preserve">após esse ponto de transição, com influências positivas do PIB </w:t>
      </w:r>
      <w:r w:rsidR="00FA7EFB" w:rsidRPr="009971F6">
        <w:rPr>
          <w:i/>
          <w:iCs/>
        </w:rPr>
        <w:t>per capita</w:t>
      </w:r>
      <w:r w:rsidR="00FA7EFB" w:rsidRPr="009971F6">
        <w:t xml:space="preserve"> sob a proporção florestal.</w:t>
      </w:r>
    </w:p>
    <w:p w14:paraId="2AA4C931" w14:textId="25CE7A06" w:rsidR="005427AE" w:rsidRPr="009971F6" w:rsidRDefault="00857459" w:rsidP="00D3677A">
      <w:pPr>
        <w:pStyle w:val="TextoCorridoABNT"/>
      </w:pPr>
      <w:r w:rsidRPr="009971F6">
        <w:lastRenderedPageBreak/>
        <w:t xml:space="preserve">A proporção do PIB agrícola em relação ao PIB total se demonstrou negativamente relacionada a cobertura florestal. Segundo Pfaff e Walker (2010), esse possível </w:t>
      </w:r>
      <w:r w:rsidRPr="009971F6">
        <w:rPr>
          <w:i/>
        </w:rPr>
        <w:t>trade-off</w:t>
      </w:r>
      <w:r w:rsidRPr="009971F6">
        <w:t xml:space="preserve"> entre a atividade agrícola e a cobertura florestal requer uma análise cuidadosa. Os fatores que ocasionaram o aumento do PIB e desta proporção precisam ser levados em consideração. </w:t>
      </w:r>
    </w:p>
    <w:p w14:paraId="1E11ED7B" w14:textId="40AAF1F6" w:rsidR="008A464B" w:rsidRPr="009971F6" w:rsidRDefault="00857459" w:rsidP="00D3677A">
      <w:pPr>
        <w:pStyle w:val="TextoCorridoABNT"/>
      </w:pPr>
      <w:r w:rsidRPr="009971F6">
        <w:t xml:space="preserve">Inovações tecnológicas que aumentam a produtividade por área de solo utilizada para fins agrícolas podem beneficiar a transição florestal, pois permitem que ocorra um aumento da produção </w:t>
      </w:r>
      <w:r w:rsidR="005427AE" w:rsidRPr="009971F6">
        <w:t>(</w:t>
      </w:r>
      <w:r w:rsidRPr="009971F6">
        <w:t xml:space="preserve">e consequentemente </w:t>
      </w:r>
      <w:r w:rsidR="00EF0BF7" w:rsidRPr="009971F6">
        <w:t xml:space="preserve">do </w:t>
      </w:r>
      <w:r w:rsidRPr="009971F6">
        <w:t>PIB agropecuário</w:t>
      </w:r>
      <w:r w:rsidR="005427AE" w:rsidRPr="009971F6">
        <w:t>)</w:t>
      </w:r>
      <w:r w:rsidRPr="009971F6">
        <w:t xml:space="preserve"> sem que haja conversão de terras florestais</w:t>
      </w:r>
      <w:r w:rsidR="008A464B" w:rsidRPr="009971F6">
        <w:t xml:space="preserve">. Todavia, </w:t>
      </w:r>
      <w:r w:rsidR="005427AE" w:rsidRPr="009971F6">
        <w:t xml:space="preserve">caso </w:t>
      </w:r>
      <w:r w:rsidR="008A464B" w:rsidRPr="009971F6">
        <w:t xml:space="preserve">o aumento </w:t>
      </w:r>
      <w:r w:rsidR="005427AE" w:rsidRPr="009971F6">
        <w:t>do PIB agropecuário e da produção sejam</w:t>
      </w:r>
      <w:r w:rsidR="008A464B" w:rsidRPr="009971F6">
        <w:t xml:space="preserve"> resultado de </w:t>
      </w:r>
      <w:r w:rsidR="00E677C3" w:rsidRPr="009971F6">
        <w:t>atividades extensivas</w:t>
      </w:r>
      <w:r w:rsidR="008A464B" w:rsidRPr="009971F6">
        <w:t xml:space="preserve">, </w:t>
      </w:r>
      <w:r w:rsidR="005427AE" w:rsidRPr="009971F6">
        <w:t>que se utiliza</w:t>
      </w:r>
      <w:r w:rsidR="00952801" w:rsidRPr="009971F6">
        <w:t>m</w:t>
      </w:r>
      <w:r w:rsidR="005427AE" w:rsidRPr="009971F6">
        <w:t xml:space="preserve"> somente</w:t>
      </w:r>
      <w:r w:rsidR="008A464B" w:rsidRPr="009971F6">
        <w:t xml:space="preserve"> </w:t>
      </w:r>
      <w:r w:rsidR="005427AE" w:rsidRPr="009971F6">
        <w:t>d</w:t>
      </w:r>
      <w:r w:rsidR="008A464B" w:rsidRPr="009971F6">
        <w:t>a expansão d</w:t>
      </w:r>
      <w:r w:rsidR="005427AE" w:rsidRPr="009971F6">
        <w:t>e</w:t>
      </w:r>
      <w:r w:rsidR="008A464B" w:rsidRPr="009971F6">
        <w:t xml:space="preserve"> </w:t>
      </w:r>
      <w:r w:rsidR="005427AE" w:rsidRPr="009971F6">
        <w:t xml:space="preserve">fronteiras agrícolas </w:t>
      </w:r>
      <w:r w:rsidR="00952801" w:rsidRPr="009971F6">
        <w:t>com</w:t>
      </w:r>
      <w:r w:rsidR="005427AE" w:rsidRPr="009971F6">
        <w:t xml:space="preserve"> conversão de </w:t>
      </w:r>
      <w:r w:rsidR="00E12967" w:rsidRPr="009971F6">
        <w:t>áreas</w:t>
      </w:r>
      <w:r w:rsidR="005427AE" w:rsidRPr="009971F6">
        <w:t xml:space="preserve"> florestais,</w:t>
      </w:r>
      <w:r w:rsidR="008A464B" w:rsidRPr="009971F6">
        <w:t xml:space="preserve"> </w:t>
      </w:r>
      <w:r w:rsidR="005427AE" w:rsidRPr="009971F6">
        <w:t>ocorre</w:t>
      </w:r>
      <w:r w:rsidR="008A464B" w:rsidRPr="009971F6">
        <w:t xml:space="preserve"> </w:t>
      </w:r>
      <w:r w:rsidR="005427AE" w:rsidRPr="009971F6">
        <w:t>uma intensificação do</w:t>
      </w:r>
      <w:r w:rsidR="008A464B" w:rsidRPr="009971F6">
        <w:t xml:space="preserve"> desmatamento </w:t>
      </w:r>
      <w:r w:rsidR="005427AE" w:rsidRPr="009971F6">
        <w:t>e diminuição da cobertura florestal</w:t>
      </w:r>
      <w:r w:rsidR="008A464B" w:rsidRPr="009971F6">
        <w:t>.</w:t>
      </w:r>
    </w:p>
    <w:p w14:paraId="3AF2C6F6" w14:textId="14CACDE8" w:rsidR="008A464B" w:rsidRPr="009971F6" w:rsidRDefault="005427AE" w:rsidP="00D3677A">
      <w:pPr>
        <w:pStyle w:val="TextoCorridoABNT"/>
      </w:pPr>
      <w:r w:rsidRPr="009971F6">
        <w:t xml:space="preserve">O valor das multas apresentou-se negativamente relacionado </w:t>
      </w:r>
      <w:r w:rsidR="005821BB" w:rsidRPr="009971F6">
        <w:t>à</w:t>
      </w:r>
      <w:r w:rsidRPr="009971F6">
        <w:t xml:space="preserve"> cobertura florestal. Desta forma</w:t>
      </w:r>
      <w:r w:rsidR="008A464B" w:rsidRPr="009971F6">
        <w:t>, pode-se inferir que o valor das multas não é suficiente para aumentar a proporção florestal dos munícipios</w:t>
      </w:r>
      <w:r w:rsidR="005821BB" w:rsidRPr="009971F6">
        <w:t>.</w:t>
      </w:r>
      <w:r w:rsidR="008A464B" w:rsidRPr="009971F6">
        <w:t xml:space="preserve"> </w:t>
      </w:r>
      <w:r w:rsidR="005821BB" w:rsidRPr="009971F6">
        <w:t>A</w:t>
      </w:r>
      <w:r w:rsidR="008A464B" w:rsidRPr="009971F6">
        <w:t xml:space="preserve">demais, é evidente que municípios que tenham maiores taxas de desmatamento possuam consequentemente mais multas. O estuds de Silva et al (2020) </w:t>
      </w:r>
      <w:r w:rsidR="005821BB" w:rsidRPr="009971F6">
        <w:t>apresentou</w:t>
      </w:r>
      <w:r w:rsidR="008A464B" w:rsidRPr="009971F6">
        <w:t xml:space="preserve"> resultado semelhante para </w:t>
      </w:r>
      <w:r w:rsidR="005821BB" w:rsidRPr="009971F6">
        <w:t>esta relaçao</w:t>
      </w:r>
      <w:r w:rsidR="008A464B" w:rsidRPr="009971F6">
        <w:t>.</w:t>
      </w:r>
    </w:p>
    <w:p w14:paraId="630C62A7" w14:textId="5C30B1A6" w:rsidR="008A464B" w:rsidRPr="009971F6" w:rsidRDefault="008A464B" w:rsidP="00D3677A">
      <w:pPr>
        <w:pStyle w:val="TextoCorridoABNT"/>
      </w:pPr>
      <w:r w:rsidRPr="009971F6">
        <w:t xml:space="preserve">Como explicado por Barbier </w:t>
      </w:r>
      <w:r w:rsidRPr="009971F6">
        <w:rPr>
          <w:i/>
          <w:iCs/>
        </w:rPr>
        <w:t>et al</w:t>
      </w:r>
      <w:r w:rsidR="00FF5F94" w:rsidRPr="009971F6">
        <w:rPr>
          <w:i/>
          <w:iCs/>
        </w:rPr>
        <w:t>.</w:t>
      </w:r>
      <w:r w:rsidRPr="009971F6">
        <w:t xml:space="preserve"> (2010), o aumento da população de uma região tende a aumentar a pressão ambiental devido a demanda por alimentos, resultando em uma conversão </w:t>
      </w:r>
      <w:r w:rsidR="00E072EC" w:rsidRPr="009971F6">
        <w:t>de áreas</w:t>
      </w:r>
      <w:r w:rsidRPr="009971F6">
        <w:t xml:space="preserve"> floresta</w:t>
      </w:r>
      <w:r w:rsidR="00E072EC" w:rsidRPr="009971F6">
        <w:t>is</w:t>
      </w:r>
      <w:r w:rsidRPr="009971F6">
        <w:t xml:space="preserve"> para </w:t>
      </w:r>
      <w:r w:rsidR="00E072EC" w:rsidRPr="009971F6">
        <w:t>áreas</w:t>
      </w:r>
      <w:r w:rsidRPr="009971F6">
        <w:t xml:space="preserve"> agropecuária</w:t>
      </w:r>
      <w:r w:rsidR="00E072EC" w:rsidRPr="009971F6">
        <w:t>s</w:t>
      </w:r>
      <w:r w:rsidRPr="009971F6">
        <w:t xml:space="preserve">. Esta conversão tende a </w:t>
      </w:r>
      <w:r w:rsidR="00E072EC" w:rsidRPr="009971F6">
        <w:t xml:space="preserve">continuar </w:t>
      </w:r>
      <w:r w:rsidRPr="009971F6">
        <w:t xml:space="preserve">até </w:t>
      </w:r>
      <w:r w:rsidR="00E072EC" w:rsidRPr="009971F6">
        <w:t xml:space="preserve">que </w:t>
      </w:r>
      <w:r w:rsidRPr="009971F6">
        <w:t xml:space="preserve">os benefícios da manutenção </w:t>
      </w:r>
      <w:r w:rsidR="00E072EC" w:rsidRPr="009971F6">
        <w:t>das áreas de</w:t>
      </w:r>
      <w:r w:rsidRPr="009971F6">
        <w:t xml:space="preserve"> floresta se igualem ou superem os benefícios da conversão do solo.</w:t>
      </w:r>
    </w:p>
    <w:p w14:paraId="71C1DF29" w14:textId="28EA2F0C" w:rsidR="00573D67" w:rsidRPr="009971F6" w:rsidRDefault="00573D67" w:rsidP="00D3677A">
      <w:pPr>
        <w:spacing w:line="360" w:lineRule="auto"/>
        <w:ind w:left="360"/>
        <w:jc w:val="both"/>
      </w:pPr>
    </w:p>
    <w:p w14:paraId="287724E2" w14:textId="176CFD66" w:rsidR="00AC4CD9" w:rsidRPr="009971F6" w:rsidRDefault="00CB0AC4" w:rsidP="00A972A9">
      <w:pPr>
        <w:pStyle w:val="Ttulo1"/>
        <w:ind w:left="0" w:firstLine="0"/>
      </w:pPr>
      <w:bookmarkStart w:id="18" w:name="_Toc130219032"/>
      <w:r w:rsidRPr="009971F6">
        <w:t>5</w:t>
      </w:r>
      <w:r w:rsidR="00573D67" w:rsidRPr="009971F6">
        <w:t xml:space="preserve"> </w:t>
      </w:r>
      <w:r w:rsidR="00AA1043" w:rsidRPr="009971F6">
        <w:t>C</w:t>
      </w:r>
      <w:r w:rsidR="000F705B" w:rsidRPr="009971F6">
        <w:t>onsiderações finais</w:t>
      </w:r>
      <w:bookmarkEnd w:id="18"/>
    </w:p>
    <w:p w14:paraId="2250FA42" w14:textId="2BA7D435" w:rsidR="00020151" w:rsidRPr="009971F6" w:rsidRDefault="00AC4CD9" w:rsidP="00D3677A">
      <w:pPr>
        <w:pStyle w:val="TextoCorridoABNT"/>
      </w:pPr>
      <w:r w:rsidRPr="009971F6">
        <w:t xml:space="preserve">A </w:t>
      </w:r>
      <w:r w:rsidR="00F22135" w:rsidRPr="009971F6">
        <w:t>região da Amazônia Legal</w:t>
      </w:r>
      <w:r w:rsidR="002051B0" w:rsidRPr="009971F6">
        <w:t xml:space="preserve"> apresenta não somente grande importância para o equilíbrio ambiental mundial, mas também uma</w:t>
      </w:r>
      <w:r w:rsidR="00F22135" w:rsidRPr="009971F6">
        <w:t xml:space="preserve"> complexa relação </w:t>
      </w:r>
      <w:r w:rsidR="002051B0" w:rsidRPr="009971F6">
        <w:t xml:space="preserve">com seus determinantes de desmatamento e cobertura florestal. As formas de controle empregadas para a conservação </w:t>
      </w:r>
      <w:r w:rsidR="00020151" w:rsidRPr="009971F6">
        <w:t>das florestas</w:t>
      </w:r>
      <w:r w:rsidR="002051B0" w:rsidRPr="009971F6">
        <w:t xml:space="preserve"> incluem a criação de </w:t>
      </w:r>
      <w:r w:rsidR="00020151" w:rsidRPr="009971F6">
        <w:t>políticas</w:t>
      </w:r>
      <w:r w:rsidR="002051B0" w:rsidRPr="009971F6">
        <w:t xml:space="preserve"> públicas, acordos com o setor privado e fiscalização para as ações ambientais na região. </w:t>
      </w:r>
      <w:r w:rsidR="00020151" w:rsidRPr="009971F6">
        <w:t>A</w:t>
      </w:r>
      <w:r w:rsidR="002051B0" w:rsidRPr="009971F6">
        <w:t xml:space="preserve"> implementação da região política da Amazonia Legal e </w:t>
      </w:r>
      <w:r w:rsidR="00020151" w:rsidRPr="009971F6">
        <w:t>d</w:t>
      </w:r>
      <w:r w:rsidR="002051B0" w:rsidRPr="009971F6">
        <w:t>o PPCDam</w:t>
      </w:r>
      <w:r w:rsidR="00020151" w:rsidRPr="009971F6">
        <w:t xml:space="preserve"> causaram drásticos efeitos na conservação florestal ambiental da região, todavia </w:t>
      </w:r>
      <w:r w:rsidR="006A6C5B" w:rsidRPr="009971F6">
        <w:t>ainda se observa</w:t>
      </w:r>
      <w:r w:rsidR="00020151" w:rsidRPr="009971F6">
        <w:t xml:space="preserve"> crescentes taxas de desmatamento nos últimos anos.</w:t>
      </w:r>
    </w:p>
    <w:p w14:paraId="5BFE536F" w14:textId="5C526927" w:rsidR="00AC4CD9" w:rsidRPr="009971F6" w:rsidRDefault="004A195E" w:rsidP="00D3677A">
      <w:pPr>
        <w:pStyle w:val="TextoCorridoABNT"/>
      </w:pPr>
      <w:r w:rsidRPr="009971F6">
        <w:t xml:space="preserve">A teoria da transição florestal é um processo dinâmico de longo prazo, no qual o declínio da área florestal é substituído por sua regeneração. Isso está relacionado a fenômenos de tomada de decisão em relação ao valor de uso relativo do solo, buscando-se uma alocação ótima. A </w:t>
      </w:r>
      <w:r w:rsidRPr="009971F6">
        <w:lastRenderedPageBreak/>
        <w:t>tomada de decisão em relação ao uso da terra pode sofrer alteraç</w:t>
      </w:r>
      <w:r w:rsidR="006A6C5B" w:rsidRPr="009971F6">
        <w:t>ões</w:t>
      </w:r>
      <w:r w:rsidRPr="009971F6">
        <w:t xml:space="preserve"> </w:t>
      </w:r>
      <w:r w:rsidR="006A6C5B" w:rsidRPr="009971F6">
        <w:t>de acordo com</w:t>
      </w:r>
      <w:r w:rsidRPr="009971F6">
        <w:t xml:space="preserve"> políticas, falhas de mercados e outros fatores, </w:t>
      </w:r>
      <w:r w:rsidR="006A6C5B" w:rsidRPr="009971F6">
        <w:t xml:space="preserve">o que pode levar a uma </w:t>
      </w:r>
      <w:r w:rsidRPr="009971F6">
        <w:t>diminuição excessiva nas áreas florestais e atrasa</w:t>
      </w:r>
      <w:r w:rsidR="006A6C5B" w:rsidRPr="009971F6">
        <w:t>r</w:t>
      </w:r>
      <w:r w:rsidRPr="009971F6">
        <w:t xml:space="preserve"> a transição florestal.</w:t>
      </w:r>
    </w:p>
    <w:p w14:paraId="6098D5A8" w14:textId="52E72DF0" w:rsidR="00C174D1" w:rsidRPr="009971F6" w:rsidRDefault="00C174D1" w:rsidP="00D3677A">
      <w:pPr>
        <w:pStyle w:val="TextoCorridoABNT"/>
      </w:pPr>
      <w:r w:rsidRPr="009971F6">
        <w:t xml:space="preserve">O </w:t>
      </w:r>
      <w:r w:rsidR="00F744A3" w:rsidRPr="009971F6">
        <w:t>estudo utilizou-se do modelo de dados em painel para verificar os principais determinantes para a proporção florestal na região, utilizando diferentes dados para analisar os fenômenos que podem levar a transição florestal.</w:t>
      </w:r>
    </w:p>
    <w:p w14:paraId="7992744D" w14:textId="562FAAB3" w:rsidR="00AF4DB9" w:rsidRPr="009971F6" w:rsidRDefault="00F744A3" w:rsidP="00AF4DB9">
      <w:pPr>
        <w:pStyle w:val="TextoCorridoABNT"/>
      </w:pPr>
      <w:r w:rsidRPr="009971F6">
        <w:t>Assim, verificou</w:t>
      </w:r>
      <w:r w:rsidR="004A195E" w:rsidRPr="009971F6">
        <w:t>-se que os determinantes da proporção de flor</w:t>
      </w:r>
      <w:r w:rsidR="006A6C5B" w:rsidRPr="009971F6">
        <w:t>estas incluem o</w:t>
      </w:r>
      <w:r w:rsidR="006A6C5B" w:rsidRPr="009971F6">
        <w:rPr>
          <w:i/>
          <w:iCs/>
        </w:rPr>
        <w:t xml:space="preserve"> </w:t>
      </w:r>
      <w:r w:rsidR="006A6C5B" w:rsidRPr="009971F6">
        <w:t xml:space="preserve">PIB </w:t>
      </w:r>
      <w:r w:rsidR="006A6C5B" w:rsidRPr="009971F6">
        <w:rPr>
          <w:i/>
          <w:iCs/>
        </w:rPr>
        <w:t>per capita</w:t>
      </w:r>
      <w:r w:rsidR="006A6C5B" w:rsidRPr="009971F6">
        <w:t xml:space="preserve">, densidade demográfica, a proporção do PIB agrícola e o valor médio de multas. Os determinantes demonstram que os indicadores socioeconômicos têm diferentes impactos na cobertura florestal da região. De modo geral, os resultados obtidos </w:t>
      </w:r>
      <w:r w:rsidR="00C174D1" w:rsidRPr="009971F6">
        <w:t>indicam</w:t>
      </w:r>
      <w:r w:rsidR="006A6C5B" w:rsidRPr="009971F6">
        <w:t xml:space="preserve"> que, </w:t>
      </w:r>
      <w:r w:rsidR="00DA4B48" w:rsidRPr="009971F6">
        <w:t>ao longo do tempo</w:t>
      </w:r>
      <w:r w:rsidR="006A6C5B" w:rsidRPr="009971F6">
        <w:t>, é possível obter aumentos na cobertura florestal em conjunto com os indicadores socioeconômicos.</w:t>
      </w:r>
      <w:r w:rsidR="00AF4DB9" w:rsidRPr="009971F6">
        <w:t xml:space="preserve"> Em síntese, os resultados apontaram que as autuações ambientais empregadas não se demonstraram capazes de aumentar a cobertura florestal da região</w:t>
      </w:r>
      <w:r w:rsidR="00A22C85" w:rsidRPr="009971F6">
        <w:t xml:space="preserve"> e que </w:t>
      </w:r>
      <w:r w:rsidR="00AF4DB9" w:rsidRPr="009971F6">
        <w:t xml:space="preserve"> a pressão ocasionada pela população e pelo setor agrícola tende</w:t>
      </w:r>
      <w:r w:rsidR="00A22C85" w:rsidRPr="009971F6">
        <w:t>m</w:t>
      </w:r>
      <w:r w:rsidR="00AF4DB9" w:rsidRPr="009971F6">
        <w:t xml:space="preserve"> a diminuir a cobertura florestal devido aos valores relativos do uso do solo.</w:t>
      </w:r>
    </w:p>
    <w:p w14:paraId="6339E12C" w14:textId="2F4ECE3A" w:rsidR="006A6C5B" w:rsidRPr="009971F6" w:rsidRDefault="006A6C5B" w:rsidP="00D3677A">
      <w:pPr>
        <w:pStyle w:val="TextoCorridoABNT"/>
      </w:pPr>
      <w:r w:rsidRPr="009971F6">
        <w:t>A região não demonstrou ganhos líquidos constantes de cobertura florestal, assim, estando</w:t>
      </w:r>
      <w:r w:rsidR="00C174D1" w:rsidRPr="009971F6">
        <w:t xml:space="preserve"> localizada</w:t>
      </w:r>
      <w:r w:rsidR="008750B7" w:rsidRPr="009971F6">
        <w:t>, provavelmente,</w:t>
      </w:r>
      <w:r w:rsidRPr="009971F6">
        <w:t xml:space="preserve"> na fase II da curva de transição florestal, pois apesar d</w:t>
      </w:r>
      <w:r w:rsidR="00AF7581" w:rsidRPr="009971F6">
        <w:t>e haver</w:t>
      </w:r>
      <w:r w:rsidRPr="009971F6">
        <w:t xml:space="preserve"> certa estabilização da cobertura florestal nos últimos anos, as taxas de desmatamento continuam elevadas e em crescimento.</w:t>
      </w:r>
    </w:p>
    <w:p w14:paraId="16EAB497" w14:textId="77777777" w:rsidR="00C174D1" w:rsidRPr="009971F6" w:rsidRDefault="00C174D1" w:rsidP="00D3677A">
      <w:pPr>
        <w:pStyle w:val="TextoCorridoABNT"/>
      </w:pPr>
      <w:r w:rsidRPr="009971F6">
        <w:t>Com isso, deve-se levar em consideração que a cobertura florestal utilizada no desenvolvimento do trabalho não faz distinção entre florestas primárias e florestas secundárias. O reflorestamento no bioma se dá principalmente através do incremento de florestas secundárias, o que ocasiona uma preocupante perda de complexidade e biodiversidade da fauna e flora do local.</w:t>
      </w:r>
    </w:p>
    <w:p w14:paraId="64AC6089" w14:textId="62BB3782" w:rsidR="00C174D1" w:rsidRPr="009971F6" w:rsidRDefault="00F744A3" w:rsidP="00D3677A">
      <w:pPr>
        <w:pStyle w:val="TextoCorridoABNT"/>
      </w:pPr>
      <w:r w:rsidRPr="009971F6">
        <w:t xml:space="preserve">A divulgação dos dados pelo TerraClass </w:t>
      </w:r>
      <w:r w:rsidR="00FF5F94" w:rsidRPr="009971F6">
        <w:t xml:space="preserve">(IBGE. 2023a) </w:t>
      </w:r>
      <w:r w:rsidRPr="009971F6">
        <w:t>referentes ao uso do solo na região da Amazônia Legal estão paralisados até o momento. A retomada da publicação desses dados pode permitir uma análise mais aprofundada quanto as classes uso do solo e da proporção de florestas secundárias na região.</w:t>
      </w:r>
      <w:r w:rsidR="00E70471" w:rsidRPr="009971F6">
        <w:t xml:space="preserve"> Ademais, uma análise com um período temporal maior pode fornecer mais detalhes quanto ao formato da curva e do comportamento das variáveis ao longo do tempo, uma vez que o processo da TTF é dinâmico e ocorre à longo prazo.</w:t>
      </w:r>
    </w:p>
    <w:p w14:paraId="746FE575" w14:textId="77777777" w:rsidR="00F744A3" w:rsidRPr="009971F6" w:rsidRDefault="00F744A3" w:rsidP="00D3677A">
      <w:pPr>
        <w:spacing w:line="360" w:lineRule="auto"/>
        <w:ind w:left="360" w:firstLine="491"/>
        <w:jc w:val="both"/>
      </w:pPr>
    </w:p>
    <w:p w14:paraId="7CCA71F6" w14:textId="77777777" w:rsidR="00B1350E" w:rsidRDefault="00B1350E">
      <w:pPr>
        <w:rPr>
          <w:b/>
        </w:rPr>
      </w:pPr>
      <w:bookmarkStart w:id="19" w:name="_Toc130219033"/>
      <w:r>
        <w:br w:type="page"/>
      </w:r>
    </w:p>
    <w:p w14:paraId="52FCAF85" w14:textId="0101F513" w:rsidR="00573D67" w:rsidRPr="009971F6" w:rsidRDefault="0012051E" w:rsidP="00A972A9">
      <w:pPr>
        <w:pStyle w:val="Ttulo1"/>
        <w:ind w:left="0" w:firstLine="0"/>
      </w:pPr>
      <w:r w:rsidRPr="009971F6">
        <w:lastRenderedPageBreak/>
        <w:t>R</w:t>
      </w:r>
      <w:r w:rsidR="000F705B" w:rsidRPr="009971F6">
        <w:t>eferências</w:t>
      </w:r>
      <w:bookmarkEnd w:id="19"/>
    </w:p>
    <w:p w14:paraId="6CF3C422" w14:textId="77777777" w:rsidR="009971F6" w:rsidRPr="009971F6" w:rsidRDefault="009971F6" w:rsidP="009971F6">
      <w:pPr>
        <w:pStyle w:val="NormalWeb"/>
        <w:spacing w:before="0" w:after="0" w:line="360" w:lineRule="auto"/>
        <w:ind w:left="0" w:right="-1"/>
        <w:jc w:val="both"/>
        <w:rPr>
          <w:rFonts w:ascii="Times New Roman" w:hAnsi="Times New Roman"/>
          <w:sz w:val="24"/>
          <w:szCs w:val="24"/>
          <w:lang w:val="en-US"/>
        </w:rPr>
      </w:pPr>
      <w:r w:rsidRPr="003A02D1">
        <w:rPr>
          <w:rFonts w:ascii="Times New Roman" w:hAnsi="Times New Roman"/>
          <w:sz w:val="24"/>
          <w:szCs w:val="24"/>
          <w:lang w:val="en-US"/>
        </w:rPr>
        <w:t xml:space="preserve">AGUIAR, A. P. D.; CÂMARA, G.; ESCADA, M. I. S. Spatial statistical analysis of land-use determinants in the Brazilian Amazonia: Exploring intra-regional heterogeneity. </w:t>
      </w:r>
      <w:r w:rsidRPr="009971F6">
        <w:rPr>
          <w:rFonts w:ascii="Times New Roman" w:hAnsi="Times New Roman"/>
          <w:b/>
          <w:bCs/>
          <w:sz w:val="24"/>
          <w:szCs w:val="24"/>
          <w:lang w:val="en-US"/>
        </w:rPr>
        <w:t>Ecological Modelling,</w:t>
      </w:r>
      <w:r w:rsidRPr="009971F6">
        <w:rPr>
          <w:rFonts w:ascii="Times New Roman" w:hAnsi="Times New Roman"/>
          <w:sz w:val="24"/>
          <w:szCs w:val="24"/>
          <w:lang w:val="en-US"/>
        </w:rPr>
        <w:t xml:space="preserve"> v. 209, n. 2-4, p. 169–188, dez. 2007. </w:t>
      </w:r>
    </w:p>
    <w:p w14:paraId="5EB84715" w14:textId="77777777" w:rsidR="009971F6" w:rsidRPr="009971F6" w:rsidRDefault="009971F6" w:rsidP="009971F6">
      <w:pPr>
        <w:spacing w:line="360" w:lineRule="auto"/>
        <w:ind w:right="-1"/>
        <w:jc w:val="both"/>
        <w:rPr>
          <w:iCs/>
          <w:lang w:val="en-US"/>
        </w:rPr>
      </w:pPr>
      <w:r w:rsidRPr="009971F6">
        <w:rPr>
          <w:iCs/>
          <w:lang w:val="en-US"/>
        </w:rPr>
        <w:t xml:space="preserve">ANGELSEN, A. </w:t>
      </w:r>
      <w:r w:rsidRPr="009971F6">
        <w:rPr>
          <w:b/>
          <w:bCs/>
          <w:iCs/>
          <w:lang w:val="en-US"/>
        </w:rPr>
        <w:t xml:space="preserve">Forest Cover Change in Space and Time: </w:t>
      </w:r>
      <w:r w:rsidRPr="009971F6">
        <w:rPr>
          <w:iCs/>
          <w:lang w:val="en-US"/>
        </w:rPr>
        <w:t>Combining the Von Thunen and Forest Transition Theories. Washington,</w:t>
      </w:r>
      <w:r w:rsidRPr="009971F6">
        <w:rPr>
          <w:lang w:val="en-US"/>
        </w:rPr>
        <w:t xml:space="preserve"> World Bank Policy Research Working Paper 4117</w:t>
      </w:r>
      <w:r w:rsidRPr="009971F6">
        <w:rPr>
          <w:iCs/>
          <w:lang w:val="en-US"/>
        </w:rPr>
        <w:t>. 2007.</w:t>
      </w:r>
    </w:p>
    <w:p w14:paraId="5E8BDED9" w14:textId="77777777" w:rsidR="009971F6" w:rsidRPr="009971F6" w:rsidRDefault="009971F6" w:rsidP="009971F6">
      <w:pPr>
        <w:pStyle w:val="NormalWeb"/>
        <w:spacing w:before="0" w:after="0" w:line="360" w:lineRule="auto"/>
        <w:ind w:left="0" w:right="-1"/>
        <w:jc w:val="both"/>
        <w:rPr>
          <w:rFonts w:ascii="Times New Roman" w:hAnsi="Times New Roman"/>
          <w:sz w:val="24"/>
          <w:szCs w:val="24"/>
          <w:lang w:val="en-US"/>
        </w:rPr>
      </w:pPr>
      <w:r w:rsidRPr="009971F6">
        <w:rPr>
          <w:rFonts w:ascii="Times New Roman" w:hAnsi="Times New Roman"/>
          <w:sz w:val="24"/>
          <w:szCs w:val="24"/>
          <w:lang w:val="en-US"/>
        </w:rPr>
        <w:t>ASSUNÇÃO, J.; Gandour, C.; Rocha, R.</w:t>
      </w:r>
      <w:r w:rsidRPr="009971F6">
        <w:rPr>
          <w:rFonts w:ascii="Times New Roman" w:hAnsi="Times New Roman"/>
          <w:b/>
          <w:bCs/>
          <w:sz w:val="24"/>
          <w:szCs w:val="24"/>
          <w:lang w:val="en-US"/>
        </w:rPr>
        <w:t xml:space="preserve"> </w:t>
      </w:r>
      <w:r w:rsidRPr="009971F6">
        <w:rPr>
          <w:rFonts w:ascii="Times New Roman" w:hAnsi="Times New Roman"/>
          <w:sz w:val="24"/>
          <w:szCs w:val="24"/>
          <w:lang w:val="en-US"/>
        </w:rPr>
        <w:t xml:space="preserve">Deforestation slowdown in the Brazilian Amazon: prices or policies? </w:t>
      </w:r>
      <w:r w:rsidRPr="009971F6">
        <w:rPr>
          <w:rFonts w:ascii="Times New Roman" w:hAnsi="Times New Roman"/>
          <w:b/>
          <w:bCs/>
          <w:sz w:val="24"/>
          <w:szCs w:val="24"/>
          <w:lang w:val="en-US"/>
        </w:rPr>
        <w:t>Environment and Development Economics,</w:t>
      </w:r>
      <w:r w:rsidRPr="009971F6">
        <w:rPr>
          <w:rFonts w:ascii="Times New Roman" w:hAnsi="Times New Roman"/>
          <w:sz w:val="24"/>
          <w:szCs w:val="24"/>
          <w:lang w:val="en-US"/>
        </w:rPr>
        <w:t xml:space="preserve"> v. 20, n. 6, p. 697–722, 2015. </w:t>
      </w:r>
    </w:p>
    <w:p w14:paraId="36F10C17" w14:textId="77777777" w:rsidR="009971F6" w:rsidRPr="009971F6" w:rsidRDefault="009971F6" w:rsidP="009971F6">
      <w:pPr>
        <w:pStyle w:val="NormalWeb"/>
        <w:spacing w:before="0" w:after="0" w:line="360" w:lineRule="auto"/>
        <w:ind w:left="0" w:right="-1"/>
        <w:jc w:val="both"/>
        <w:rPr>
          <w:rFonts w:ascii="Times New Roman" w:hAnsi="Times New Roman"/>
          <w:sz w:val="24"/>
          <w:szCs w:val="24"/>
          <w:lang w:val="en-US"/>
        </w:rPr>
      </w:pPr>
      <w:r w:rsidRPr="009971F6">
        <w:rPr>
          <w:rFonts w:ascii="Times New Roman" w:hAnsi="Times New Roman"/>
          <w:sz w:val="24"/>
          <w:szCs w:val="24"/>
          <w:lang w:val="en-US"/>
        </w:rPr>
        <w:t xml:space="preserve">BARBIER, E. B.; BURGESS, J. C. The Economics of Tropical Forest Land Use Options. </w:t>
      </w:r>
      <w:r w:rsidRPr="009971F6">
        <w:rPr>
          <w:rFonts w:ascii="Times New Roman" w:hAnsi="Times New Roman"/>
          <w:b/>
          <w:bCs/>
          <w:sz w:val="24"/>
          <w:szCs w:val="24"/>
          <w:lang w:val="en-US"/>
        </w:rPr>
        <w:t>Land Economics,</w:t>
      </w:r>
      <w:r w:rsidRPr="009971F6">
        <w:rPr>
          <w:rFonts w:ascii="Times New Roman" w:hAnsi="Times New Roman"/>
          <w:sz w:val="24"/>
          <w:szCs w:val="24"/>
          <w:lang w:val="en-US"/>
        </w:rPr>
        <w:t xml:space="preserve"> v. 73, n. 2, p. 174, 1997. </w:t>
      </w:r>
    </w:p>
    <w:p w14:paraId="58699F5A" w14:textId="77777777" w:rsidR="009971F6" w:rsidRPr="009971F6" w:rsidRDefault="009971F6" w:rsidP="009971F6">
      <w:pPr>
        <w:spacing w:line="360" w:lineRule="auto"/>
        <w:ind w:right="-1"/>
        <w:jc w:val="both"/>
        <w:rPr>
          <w:lang w:val="en-US"/>
        </w:rPr>
      </w:pPr>
      <w:r w:rsidRPr="009971F6">
        <w:rPr>
          <w:lang w:val="en-US"/>
        </w:rPr>
        <w:t xml:space="preserve">BARBIER, E.B.; BURGESS, J.C.; GRAINGER, A. The forest transition: towards a more comprehensive theoretical framework. </w:t>
      </w:r>
      <w:r w:rsidRPr="009971F6">
        <w:rPr>
          <w:b/>
          <w:bCs/>
          <w:lang w:val="en-US"/>
        </w:rPr>
        <w:t>Land</w:t>
      </w:r>
      <w:r w:rsidRPr="009971F6">
        <w:rPr>
          <w:lang w:val="en-US"/>
        </w:rPr>
        <w:t xml:space="preserve"> </w:t>
      </w:r>
      <w:r w:rsidRPr="009971F6">
        <w:rPr>
          <w:b/>
          <w:bCs/>
          <w:lang w:val="en-US"/>
        </w:rPr>
        <w:t>Use Policy,</w:t>
      </w:r>
      <w:r w:rsidRPr="009971F6">
        <w:rPr>
          <w:lang w:val="en-US"/>
        </w:rPr>
        <w:t xml:space="preserve"> v. 27, n. 2, p. 98–107, 2010</w:t>
      </w:r>
    </w:p>
    <w:p w14:paraId="67132718" w14:textId="77777777" w:rsidR="009971F6" w:rsidRPr="009971F6" w:rsidRDefault="009971F6" w:rsidP="009971F6">
      <w:pPr>
        <w:pStyle w:val="NormalWeb"/>
        <w:spacing w:before="0" w:after="0" w:line="360" w:lineRule="auto"/>
        <w:ind w:left="0" w:right="-1"/>
        <w:jc w:val="both"/>
        <w:rPr>
          <w:rFonts w:ascii="Times New Roman" w:hAnsi="Times New Roman"/>
          <w:sz w:val="24"/>
          <w:szCs w:val="24"/>
        </w:rPr>
      </w:pPr>
      <w:r w:rsidRPr="009971F6">
        <w:rPr>
          <w:rFonts w:ascii="Times New Roman" w:hAnsi="Times New Roman"/>
          <w:sz w:val="24"/>
          <w:szCs w:val="24"/>
          <w:lang w:val="en-US"/>
        </w:rPr>
        <w:t xml:space="preserve">BARBIER, E. B.; DELACOTE, P.; WOLFERSBERGER, J. The economic analysis of the forest transition: A review. </w:t>
      </w:r>
      <w:r w:rsidRPr="009971F6">
        <w:rPr>
          <w:rFonts w:ascii="Times New Roman" w:hAnsi="Times New Roman"/>
          <w:b/>
          <w:bCs/>
          <w:sz w:val="24"/>
          <w:szCs w:val="24"/>
        </w:rPr>
        <w:t>Journal of Forest Economics,</w:t>
      </w:r>
      <w:r w:rsidRPr="009971F6">
        <w:rPr>
          <w:rFonts w:ascii="Times New Roman" w:hAnsi="Times New Roman"/>
          <w:sz w:val="24"/>
          <w:szCs w:val="24"/>
        </w:rPr>
        <w:t xml:space="preserve"> v. 27, p. 10–17, abr. 2017. </w:t>
      </w:r>
    </w:p>
    <w:p w14:paraId="64CFB708" w14:textId="77777777" w:rsidR="009971F6" w:rsidRPr="009971F6" w:rsidRDefault="009971F6" w:rsidP="009971F6">
      <w:pPr>
        <w:widowControl w:val="0"/>
        <w:autoSpaceDE w:val="0"/>
        <w:autoSpaceDN w:val="0"/>
        <w:adjustRightInd w:val="0"/>
        <w:spacing w:line="360" w:lineRule="auto"/>
        <w:ind w:right="-1"/>
        <w:jc w:val="both"/>
        <w:rPr>
          <w:color w:val="000000"/>
          <w:shd w:val="clear" w:color="auto" w:fill="FFFFFF"/>
        </w:rPr>
      </w:pPr>
      <w:r w:rsidRPr="009971F6">
        <w:rPr>
          <w:color w:val="000000"/>
          <w:shd w:val="clear" w:color="auto" w:fill="FFFFFF"/>
        </w:rPr>
        <w:t>BRASIL. </w:t>
      </w:r>
      <w:r w:rsidRPr="009971F6">
        <w:rPr>
          <w:b/>
          <w:bCs/>
          <w:color w:val="000000"/>
          <w:shd w:val="clear" w:color="auto" w:fill="FFFFFF"/>
        </w:rPr>
        <w:t>Lei Complementar nº 124, de 3 de janeiro de 2007</w:t>
      </w:r>
      <w:r w:rsidRPr="009971F6">
        <w:rPr>
          <w:color w:val="000000"/>
          <w:shd w:val="clear" w:color="auto" w:fill="FFFFFF"/>
        </w:rPr>
        <w:t>. Disponível em: http://www.planalto.gov.br/ccivil_03/leis/lcp/lcp124.htm#:~:text=DA%20SUDAM-,Art.,ao%20Ministério%20da%20Integração%20Nacional. Acesso em: 01 de mar. 2023.</w:t>
      </w:r>
    </w:p>
    <w:p w14:paraId="0FAD9CA7" w14:textId="77777777" w:rsidR="009971F6" w:rsidRPr="009971F6" w:rsidRDefault="009971F6" w:rsidP="009971F6">
      <w:pPr>
        <w:widowControl w:val="0"/>
        <w:autoSpaceDE w:val="0"/>
        <w:autoSpaceDN w:val="0"/>
        <w:adjustRightInd w:val="0"/>
        <w:spacing w:line="360" w:lineRule="auto"/>
        <w:ind w:right="-1"/>
        <w:jc w:val="both"/>
      </w:pPr>
      <w:r w:rsidRPr="009971F6">
        <w:rPr>
          <w:iCs/>
          <w:color w:val="000000"/>
        </w:rPr>
        <w:t xml:space="preserve">BRASIL. </w:t>
      </w:r>
      <w:r w:rsidRPr="009971F6">
        <w:rPr>
          <w:b/>
          <w:bCs/>
        </w:rPr>
        <w:t>Ministério do Meio Ambiente e Mudança do Clima (MMA)</w:t>
      </w:r>
      <w:r w:rsidRPr="009971F6">
        <w:t xml:space="preserve">. 2022.  em: &lt;https://www.gov.br/mma/pt-br&gt;. Acesso em: 15 dez. 2022. </w:t>
      </w:r>
    </w:p>
    <w:p w14:paraId="125F77FB" w14:textId="77777777" w:rsidR="009971F6" w:rsidRPr="009971F6" w:rsidRDefault="009971F6" w:rsidP="009971F6">
      <w:pPr>
        <w:widowControl w:val="0"/>
        <w:autoSpaceDE w:val="0"/>
        <w:autoSpaceDN w:val="0"/>
        <w:adjustRightInd w:val="0"/>
        <w:spacing w:line="360" w:lineRule="auto"/>
        <w:ind w:right="-1"/>
        <w:jc w:val="both"/>
      </w:pPr>
      <w:r w:rsidRPr="009971F6">
        <w:rPr>
          <w:iCs/>
          <w:color w:val="000000"/>
        </w:rPr>
        <w:t xml:space="preserve">BRASIL. </w:t>
      </w:r>
      <w:r w:rsidRPr="009971F6">
        <w:t xml:space="preserve">Ministério do Desenvolvimento Regional (MDR). </w:t>
      </w:r>
      <w:r w:rsidRPr="009971F6">
        <w:rPr>
          <w:b/>
          <w:bCs/>
        </w:rPr>
        <w:t xml:space="preserve">Superintendência do Desenvolvimento da Amazônia (SUDAM). </w:t>
      </w:r>
      <w:r w:rsidRPr="009971F6">
        <w:t xml:space="preserve">Disponível em: https://www.gov.br/sudam/pt-br. Acesso em: dez. 2023. </w:t>
      </w:r>
    </w:p>
    <w:p w14:paraId="738A8C55" w14:textId="77777777" w:rsidR="009971F6" w:rsidRPr="009971F6" w:rsidRDefault="009971F6" w:rsidP="009971F6">
      <w:pPr>
        <w:pStyle w:val="NormalWeb"/>
        <w:spacing w:before="0" w:after="0" w:line="360" w:lineRule="auto"/>
        <w:ind w:left="0" w:right="-1"/>
        <w:jc w:val="both"/>
        <w:rPr>
          <w:rStyle w:val="cf01"/>
          <w:rFonts w:ascii="Times New Roman" w:hAnsi="Times New Roman"/>
          <w:sz w:val="24"/>
          <w:szCs w:val="24"/>
          <w:lang w:val="en-US"/>
        </w:rPr>
      </w:pPr>
      <w:r w:rsidRPr="009971F6">
        <w:rPr>
          <w:rStyle w:val="cf01"/>
          <w:rFonts w:ascii="Times New Roman" w:hAnsi="Times New Roman"/>
          <w:sz w:val="24"/>
          <w:szCs w:val="24"/>
          <w:lang w:val="en-US"/>
        </w:rPr>
        <w:t>BREUSCH, T.S.; PAGAN, A.R. A Simple Test for Heteroskedasticity and Random Coefficient Variation. Econometrica, v. 47, n. 5, p. 1287–1294, 1979</w:t>
      </w:r>
    </w:p>
    <w:p w14:paraId="253682E8" w14:textId="77777777" w:rsidR="009971F6" w:rsidRPr="009971F6" w:rsidRDefault="009971F6" w:rsidP="009971F6">
      <w:pPr>
        <w:pStyle w:val="NormalWeb"/>
        <w:spacing w:before="0" w:after="0" w:line="360" w:lineRule="auto"/>
        <w:ind w:left="0" w:right="-1"/>
        <w:jc w:val="both"/>
        <w:rPr>
          <w:rFonts w:ascii="Times New Roman" w:hAnsi="Times New Roman"/>
          <w:sz w:val="24"/>
          <w:szCs w:val="24"/>
        </w:rPr>
      </w:pPr>
      <w:r w:rsidRPr="009971F6">
        <w:rPr>
          <w:rFonts w:ascii="Times New Roman" w:hAnsi="Times New Roman"/>
          <w:sz w:val="24"/>
          <w:szCs w:val="24"/>
          <w:lang w:val="en-US"/>
        </w:rPr>
        <w:t>BRUYN, S.M; BERGH, J.C.J.M.; OPSCHOOR, J.B. Economic Growth and Emissions:</w:t>
      </w:r>
      <w:r w:rsidRPr="009971F6">
        <w:rPr>
          <w:rFonts w:ascii="Times New Roman" w:hAnsi="Times New Roman"/>
          <w:b/>
          <w:bCs/>
          <w:sz w:val="24"/>
          <w:szCs w:val="24"/>
          <w:lang w:val="en-US"/>
        </w:rPr>
        <w:t xml:space="preserve"> </w:t>
      </w:r>
      <w:r w:rsidRPr="009971F6">
        <w:rPr>
          <w:rFonts w:ascii="Times New Roman" w:hAnsi="Times New Roman"/>
          <w:sz w:val="24"/>
          <w:szCs w:val="24"/>
          <w:lang w:val="en-US"/>
        </w:rPr>
        <w:t xml:space="preserve">Reconsidering the Empirical Basis of Environmental Kuznets Curves. </w:t>
      </w:r>
      <w:r w:rsidRPr="009971F6">
        <w:rPr>
          <w:rFonts w:ascii="Times New Roman" w:hAnsi="Times New Roman"/>
          <w:b/>
          <w:bCs/>
          <w:sz w:val="24"/>
          <w:szCs w:val="24"/>
        </w:rPr>
        <w:t>Ecological</w:t>
      </w:r>
      <w:r w:rsidRPr="009971F6">
        <w:rPr>
          <w:rFonts w:ascii="Times New Roman" w:hAnsi="Times New Roman"/>
          <w:sz w:val="24"/>
          <w:szCs w:val="24"/>
        </w:rPr>
        <w:t xml:space="preserve"> </w:t>
      </w:r>
      <w:r w:rsidRPr="009971F6">
        <w:rPr>
          <w:rFonts w:ascii="Times New Roman" w:hAnsi="Times New Roman"/>
          <w:b/>
          <w:bCs/>
          <w:sz w:val="24"/>
          <w:szCs w:val="24"/>
        </w:rPr>
        <w:t>Economics</w:t>
      </w:r>
      <w:r w:rsidRPr="009971F6">
        <w:rPr>
          <w:rFonts w:ascii="Times New Roman" w:hAnsi="Times New Roman"/>
          <w:sz w:val="24"/>
          <w:szCs w:val="24"/>
        </w:rPr>
        <w:t>, v. 25, n. 2, p.161-175, 1998.</w:t>
      </w:r>
    </w:p>
    <w:p w14:paraId="3748B2A8" w14:textId="77777777" w:rsidR="009971F6" w:rsidRPr="009971F6" w:rsidRDefault="009971F6" w:rsidP="009971F6">
      <w:pPr>
        <w:pStyle w:val="NormalWeb"/>
        <w:spacing w:before="0" w:after="0" w:line="360" w:lineRule="auto"/>
        <w:ind w:left="0" w:right="-1"/>
        <w:jc w:val="both"/>
        <w:rPr>
          <w:rFonts w:ascii="Times New Roman" w:hAnsi="Times New Roman"/>
          <w:sz w:val="24"/>
          <w:szCs w:val="24"/>
          <w:lang w:val="en-US"/>
        </w:rPr>
      </w:pPr>
      <w:r w:rsidRPr="009971F6">
        <w:rPr>
          <w:rFonts w:ascii="Times New Roman" w:hAnsi="Times New Roman"/>
          <w:sz w:val="24"/>
          <w:szCs w:val="24"/>
        </w:rPr>
        <w:t xml:space="preserve">BUSTAMANTE, M. M. C. ; SILVA, J. S.; SCARIOT, A.; SAMPAIO, A. B.; MASCIA, D. L.; GARCIA, E., SANO, E.; FERNANDES, G. W.; DURIGAN, G.; ROITMAN, I.; FIGUEIREDO, I.; RODRIGUES, R. R.; PILLAR, V. D.; OLIVEIRA, A. O.; MALHADO, A. C.; ALENCAR, A.; VENDRAMINI, A.E; PADOVEZI, A.; CARRASCOSA, H.; FREITAS, J.; SIQUEIRA, J. A.;  SHIMBO, J.; GENEROSO, L. G.; TABARELLI, M.; BIDERMAN, R.; </w:t>
      </w:r>
      <w:r w:rsidRPr="009971F6">
        <w:rPr>
          <w:rFonts w:ascii="Times New Roman" w:hAnsi="Times New Roman"/>
          <w:sz w:val="24"/>
          <w:szCs w:val="24"/>
        </w:rPr>
        <w:lastRenderedPageBreak/>
        <w:t xml:space="preserve">SALOMÃO, R. P.; VALLE, R. ; JUNIOR, B.; NOBRE, C.Ecological restoration as a strategy for mitigating and adapting to climate change: lessons and challenges from Brazil. </w:t>
      </w:r>
      <w:r w:rsidRPr="009971F6">
        <w:rPr>
          <w:rFonts w:ascii="Times New Roman" w:hAnsi="Times New Roman"/>
          <w:b/>
          <w:bCs/>
          <w:sz w:val="24"/>
          <w:szCs w:val="24"/>
          <w:lang w:val="en-US"/>
        </w:rPr>
        <w:t xml:space="preserve">Mitigation and Adaptation Strategies for Global Change, </w:t>
      </w:r>
      <w:r w:rsidRPr="009971F6">
        <w:rPr>
          <w:rFonts w:ascii="Times New Roman" w:hAnsi="Times New Roman"/>
          <w:sz w:val="24"/>
          <w:szCs w:val="24"/>
          <w:lang w:val="en-US"/>
        </w:rPr>
        <w:t xml:space="preserve">v. 24, n. 7, p. 1249–1270, 2019. </w:t>
      </w:r>
    </w:p>
    <w:p w14:paraId="7AFAAF98" w14:textId="77777777" w:rsidR="009971F6" w:rsidRPr="009971F6" w:rsidRDefault="009971F6" w:rsidP="009971F6">
      <w:pPr>
        <w:spacing w:line="360" w:lineRule="auto"/>
        <w:ind w:right="-1"/>
        <w:jc w:val="both"/>
        <w:rPr>
          <w:iCs/>
          <w:lang w:val="en-US"/>
        </w:rPr>
      </w:pPr>
      <w:r w:rsidRPr="009971F6">
        <w:rPr>
          <w:iCs/>
        </w:rPr>
        <w:t xml:space="preserve">CALABONI, A. </w:t>
      </w:r>
      <w:r w:rsidRPr="009971F6">
        <w:rPr>
          <w:b/>
          <w:bCs/>
          <w:iCs/>
        </w:rPr>
        <w:t>Transição Florestal no estado de São Paulo, Brasil: fatores associados ao desmatamento e recuperação das matas nativas</w:t>
      </w:r>
      <w:r w:rsidRPr="009971F6">
        <w:rPr>
          <w:iCs/>
        </w:rPr>
        <w:t xml:space="preserve">. 2017. Tese (Doutorado em Ecologia) – Instituto de Biociências, Universidade de São Paulo. </w:t>
      </w:r>
      <w:r w:rsidRPr="009971F6">
        <w:rPr>
          <w:iCs/>
          <w:lang w:val="en-US"/>
        </w:rPr>
        <w:t>São Paulo, 2017.</w:t>
      </w:r>
    </w:p>
    <w:p w14:paraId="7E2F4EE1" w14:textId="77777777" w:rsidR="009971F6" w:rsidRPr="009971F6" w:rsidRDefault="009971F6" w:rsidP="009971F6">
      <w:pPr>
        <w:pStyle w:val="NormalWeb"/>
        <w:spacing w:before="0" w:after="0" w:line="360" w:lineRule="auto"/>
        <w:ind w:left="0" w:right="-1"/>
        <w:jc w:val="both"/>
        <w:rPr>
          <w:rFonts w:ascii="Times New Roman" w:hAnsi="Times New Roman"/>
          <w:sz w:val="24"/>
          <w:szCs w:val="24"/>
          <w:lang w:val="en-US"/>
        </w:rPr>
      </w:pPr>
      <w:r w:rsidRPr="009971F6">
        <w:rPr>
          <w:rFonts w:ascii="Times New Roman" w:hAnsi="Times New Roman"/>
          <w:sz w:val="24"/>
          <w:szCs w:val="24"/>
          <w:lang w:val="en-US"/>
        </w:rPr>
        <w:t xml:space="preserve">CHOW, G. C. Tests of equality between sets of coefficients in two linear regressions. </w:t>
      </w:r>
      <w:r w:rsidRPr="009971F6">
        <w:rPr>
          <w:rFonts w:ascii="Times New Roman" w:hAnsi="Times New Roman"/>
          <w:b/>
          <w:bCs/>
          <w:sz w:val="24"/>
          <w:szCs w:val="24"/>
          <w:lang w:val="en-US"/>
        </w:rPr>
        <w:t>Econometrica</w:t>
      </w:r>
      <w:r w:rsidRPr="009971F6">
        <w:rPr>
          <w:rFonts w:ascii="Times New Roman" w:hAnsi="Times New Roman"/>
          <w:sz w:val="24"/>
          <w:szCs w:val="24"/>
          <w:lang w:val="en-US"/>
        </w:rPr>
        <w:t>, v. 28, n. 3, p. 591-605, 1960.</w:t>
      </w:r>
    </w:p>
    <w:p w14:paraId="77F206E5" w14:textId="77777777" w:rsidR="009971F6" w:rsidRPr="009971F6" w:rsidRDefault="009971F6" w:rsidP="009971F6">
      <w:pPr>
        <w:pStyle w:val="NormalWeb"/>
        <w:spacing w:before="0" w:after="0" w:line="360" w:lineRule="auto"/>
        <w:ind w:left="0" w:right="-1"/>
        <w:jc w:val="both"/>
        <w:rPr>
          <w:rFonts w:ascii="Times New Roman" w:hAnsi="Times New Roman"/>
          <w:sz w:val="24"/>
          <w:szCs w:val="24"/>
        </w:rPr>
      </w:pPr>
      <w:r w:rsidRPr="009971F6">
        <w:rPr>
          <w:rFonts w:ascii="Times New Roman" w:hAnsi="Times New Roman"/>
          <w:sz w:val="24"/>
          <w:szCs w:val="24"/>
          <w:lang w:val="en-US"/>
        </w:rPr>
        <w:t xml:space="preserve">ELLWANGER, J. H. et al. Beyond diversity loss and climate change: Impacts of Amazon deforestation on infectious diseases and public health. </w:t>
      </w:r>
      <w:r w:rsidRPr="009971F6">
        <w:rPr>
          <w:rFonts w:ascii="Times New Roman" w:hAnsi="Times New Roman"/>
          <w:b/>
          <w:bCs/>
          <w:sz w:val="24"/>
          <w:szCs w:val="24"/>
        </w:rPr>
        <w:t>Anais da Academia Brasileira de Ciências,</w:t>
      </w:r>
      <w:r w:rsidRPr="009971F6">
        <w:rPr>
          <w:rFonts w:ascii="Times New Roman" w:hAnsi="Times New Roman"/>
          <w:sz w:val="24"/>
          <w:szCs w:val="24"/>
        </w:rPr>
        <w:t xml:space="preserve"> v. 92, n. 1, 2020. </w:t>
      </w:r>
    </w:p>
    <w:p w14:paraId="1AFF7475" w14:textId="77777777" w:rsidR="009971F6" w:rsidRPr="009971F6" w:rsidRDefault="009971F6" w:rsidP="009971F6">
      <w:pPr>
        <w:spacing w:line="360" w:lineRule="auto"/>
        <w:ind w:right="-1"/>
        <w:jc w:val="both"/>
        <w:rPr>
          <w:lang w:val="en-US"/>
        </w:rPr>
      </w:pPr>
      <w:r w:rsidRPr="009971F6">
        <w:t>GIBBS, H.K.; RAUSCH, L.; MUNGER, J.; SCHELLY, I.; MORTON, D.C.; NOOJIPADY, P.; SOARES-FILHO, B.; BARRETO, P.; MICOL, L.; WALKER, N.F</w:t>
      </w:r>
      <w:r w:rsidRPr="009971F6">
        <w:rPr>
          <w:b/>
          <w:bCs/>
        </w:rPr>
        <w:t xml:space="preserve">. </w:t>
      </w:r>
      <w:r w:rsidRPr="009971F6">
        <w:t xml:space="preserve">Brazil's Soy Moratorium. </w:t>
      </w:r>
      <w:r w:rsidRPr="009971F6">
        <w:rPr>
          <w:b/>
          <w:bCs/>
          <w:lang w:val="en-US"/>
        </w:rPr>
        <w:t>Science,</w:t>
      </w:r>
      <w:r w:rsidRPr="009971F6">
        <w:rPr>
          <w:lang w:val="en-US"/>
        </w:rPr>
        <w:t xml:space="preserve"> v. 347, n. 6220, 2015.</w:t>
      </w:r>
    </w:p>
    <w:p w14:paraId="55236A52" w14:textId="77777777" w:rsidR="009971F6" w:rsidRPr="009971F6" w:rsidRDefault="009971F6" w:rsidP="009971F6">
      <w:pPr>
        <w:spacing w:line="360" w:lineRule="auto"/>
        <w:ind w:right="-1"/>
        <w:jc w:val="both"/>
        <w:rPr>
          <w:lang w:val="en-US"/>
        </w:rPr>
      </w:pPr>
      <w:r w:rsidRPr="009971F6">
        <w:rPr>
          <w:lang w:val="en-US"/>
        </w:rPr>
        <w:t>GIBSON, L.; LEE, T. M.; KOH, L. P.; BROOK, B. W.; GARDNER, T. A.; BARLOW, J.; PERES, C.A.; BRADSHAW, C. J. A.; LAURANCE, W. F.; LOVEJOY, T. E.; SODHI, N. S</w:t>
      </w:r>
      <w:r w:rsidRPr="009971F6">
        <w:rPr>
          <w:i/>
          <w:iCs/>
          <w:lang w:val="en-US"/>
        </w:rPr>
        <w:t xml:space="preserve">. </w:t>
      </w:r>
      <w:r w:rsidRPr="009971F6">
        <w:rPr>
          <w:lang w:val="en-US"/>
        </w:rPr>
        <w:t xml:space="preserve">Primary forests are irreplaceable for sustaining tropical biodiversity. </w:t>
      </w:r>
      <w:r w:rsidRPr="009971F6">
        <w:rPr>
          <w:b/>
          <w:bCs/>
          <w:lang w:val="en-US"/>
        </w:rPr>
        <w:t>Nature,</w:t>
      </w:r>
      <w:r w:rsidRPr="009971F6">
        <w:rPr>
          <w:lang w:val="en-US"/>
        </w:rPr>
        <w:t xml:space="preserve"> v. 478, p. 378–381, 2011.</w:t>
      </w:r>
    </w:p>
    <w:p w14:paraId="4AB2A002" w14:textId="77777777" w:rsidR="009971F6" w:rsidRPr="009971F6" w:rsidRDefault="009971F6" w:rsidP="009971F6">
      <w:pPr>
        <w:pStyle w:val="NormalWeb"/>
        <w:spacing w:before="0" w:after="0" w:line="360" w:lineRule="auto"/>
        <w:ind w:left="0" w:right="-1"/>
        <w:jc w:val="both"/>
        <w:rPr>
          <w:rFonts w:ascii="Times New Roman" w:hAnsi="Times New Roman"/>
          <w:sz w:val="24"/>
          <w:szCs w:val="24"/>
          <w:lang w:val="en-US"/>
        </w:rPr>
      </w:pPr>
      <w:r w:rsidRPr="009971F6">
        <w:rPr>
          <w:rFonts w:ascii="Times New Roman" w:hAnsi="Times New Roman"/>
          <w:sz w:val="24"/>
          <w:szCs w:val="24"/>
          <w:lang w:val="en-US"/>
        </w:rPr>
        <w:t xml:space="preserve">GRAINGER, A. Difficulties in tracking the long-term global trend in tropical forest area. </w:t>
      </w:r>
      <w:r w:rsidRPr="009971F6">
        <w:rPr>
          <w:rFonts w:ascii="Times New Roman" w:hAnsi="Times New Roman"/>
          <w:b/>
          <w:bCs/>
          <w:sz w:val="24"/>
          <w:szCs w:val="24"/>
          <w:lang w:val="en-US"/>
        </w:rPr>
        <w:t>Proceedings</w:t>
      </w:r>
      <w:r w:rsidRPr="009971F6">
        <w:rPr>
          <w:rFonts w:ascii="Times New Roman" w:hAnsi="Times New Roman"/>
          <w:sz w:val="24"/>
          <w:szCs w:val="24"/>
          <w:lang w:val="en-US"/>
        </w:rPr>
        <w:t xml:space="preserve"> of the National Academy of Sciences, v. 105, n. 2, p. 818–823, 2008. </w:t>
      </w:r>
    </w:p>
    <w:p w14:paraId="41B14CDC" w14:textId="77777777" w:rsidR="009971F6" w:rsidRPr="009971F6" w:rsidRDefault="009971F6" w:rsidP="009971F6">
      <w:pPr>
        <w:pStyle w:val="NormalWeb"/>
        <w:spacing w:before="0" w:after="0" w:line="360" w:lineRule="auto"/>
        <w:ind w:left="0" w:right="-1"/>
        <w:jc w:val="both"/>
        <w:rPr>
          <w:rFonts w:ascii="Times New Roman" w:hAnsi="Times New Roman"/>
          <w:iCs/>
          <w:color w:val="auto"/>
          <w:sz w:val="24"/>
          <w:szCs w:val="24"/>
          <w:lang w:val="en-US"/>
        </w:rPr>
      </w:pPr>
      <w:r w:rsidRPr="009971F6">
        <w:rPr>
          <w:rFonts w:ascii="Times New Roman" w:hAnsi="Times New Roman"/>
          <w:iCs/>
          <w:color w:val="auto"/>
          <w:sz w:val="24"/>
          <w:szCs w:val="24"/>
          <w:lang w:val="en-US"/>
        </w:rPr>
        <w:t xml:space="preserve">GROSSMAN, G.; KRUEGER, A. </w:t>
      </w:r>
      <w:r w:rsidRPr="009971F6">
        <w:rPr>
          <w:rFonts w:ascii="Times New Roman" w:hAnsi="Times New Roman"/>
          <w:b/>
          <w:bCs/>
          <w:iCs/>
          <w:color w:val="auto"/>
          <w:sz w:val="24"/>
          <w:szCs w:val="24"/>
          <w:lang w:val="en-US"/>
        </w:rPr>
        <w:t>Environmental Impacts of a North American Free Trade Agreement</w:t>
      </w:r>
      <w:r w:rsidRPr="009971F6">
        <w:rPr>
          <w:rFonts w:ascii="Times New Roman" w:hAnsi="Times New Roman"/>
          <w:iCs/>
          <w:color w:val="auto"/>
          <w:sz w:val="24"/>
          <w:szCs w:val="24"/>
          <w:lang w:val="en-US"/>
        </w:rPr>
        <w:t xml:space="preserve">. Cambridge: National Bureau of Economic Research, 1991. 57 p. (NBER Working paper series, n. 3914). </w:t>
      </w:r>
    </w:p>
    <w:p w14:paraId="49DE6F7C" w14:textId="77777777" w:rsidR="009971F6" w:rsidRPr="009971F6" w:rsidRDefault="009971F6" w:rsidP="009971F6">
      <w:pPr>
        <w:pStyle w:val="NormalWeb"/>
        <w:spacing w:before="0" w:after="0" w:line="360" w:lineRule="auto"/>
        <w:ind w:left="0" w:right="-1"/>
        <w:jc w:val="both"/>
        <w:rPr>
          <w:rFonts w:ascii="Times New Roman" w:hAnsi="Times New Roman"/>
          <w:sz w:val="24"/>
          <w:szCs w:val="24"/>
          <w:lang w:val="it-IT"/>
        </w:rPr>
      </w:pPr>
      <w:r w:rsidRPr="009971F6">
        <w:rPr>
          <w:rFonts w:ascii="Times New Roman" w:hAnsi="Times New Roman"/>
          <w:sz w:val="24"/>
          <w:szCs w:val="24"/>
          <w:lang w:val="it-IT"/>
        </w:rPr>
        <w:t xml:space="preserve">GUJARATI, D. N.; PORTER, D. C. </w:t>
      </w:r>
      <w:r w:rsidRPr="009971F6">
        <w:rPr>
          <w:rFonts w:ascii="Times New Roman" w:hAnsi="Times New Roman"/>
          <w:b/>
          <w:bCs/>
          <w:sz w:val="24"/>
          <w:szCs w:val="24"/>
          <w:lang w:val="it-IT"/>
        </w:rPr>
        <w:t>Econometria básica</w:t>
      </w:r>
      <w:r w:rsidRPr="009971F6">
        <w:rPr>
          <w:rFonts w:ascii="Times New Roman" w:hAnsi="Times New Roman"/>
          <w:sz w:val="24"/>
          <w:szCs w:val="24"/>
          <w:lang w:val="it-IT"/>
        </w:rPr>
        <w:t>. 5. ed. Porto Alegre: AMGH, 2011. 924 p.</w:t>
      </w:r>
    </w:p>
    <w:p w14:paraId="7567C089" w14:textId="77777777" w:rsidR="009971F6" w:rsidRPr="009971F6" w:rsidRDefault="009971F6" w:rsidP="009971F6">
      <w:pPr>
        <w:pStyle w:val="NormalWeb"/>
        <w:spacing w:before="0" w:after="0" w:line="360" w:lineRule="auto"/>
        <w:ind w:left="0" w:right="-1"/>
        <w:jc w:val="both"/>
        <w:rPr>
          <w:rFonts w:ascii="Times New Roman" w:hAnsi="Times New Roman"/>
          <w:sz w:val="24"/>
          <w:szCs w:val="24"/>
          <w:lang w:val="en-US"/>
        </w:rPr>
      </w:pPr>
      <w:r w:rsidRPr="009971F6">
        <w:rPr>
          <w:rFonts w:ascii="Times New Roman" w:eastAsiaTheme="minorHAnsi" w:hAnsi="Times New Roman"/>
          <w:color w:val="202122"/>
          <w:sz w:val="24"/>
          <w:szCs w:val="24"/>
          <w:shd w:val="clear" w:color="auto" w:fill="FFFFFF"/>
          <w:lang w:val="it-IT" w:eastAsia="en-US"/>
        </w:rPr>
        <w:t>HAUSMAN, J.A. Specification Tests in Econometrics.</w:t>
      </w:r>
      <w:r w:rsidRPr="009971F6">
        <w:rPr>
          <w:rFonts w:ascii="Times New Roman" w:eastAsiaTheme="minorHAnsi" w:hAnsi="Times New Roman"/>
          <w:b/>
          <w:bCs/>
          <w:color w:val="202122"/>
          <w:sz w:val="24"/>
          <w:szCs w:val="24"/>
          <w:shd w:val="clear" w:color="auto" w:fill="FFFFFF"/>
          <w:lang w:val="it-IT" w:eastAsia="en-US"/>
        </w:rPr>
        <w:t xml:space="preserve"> </w:t>
      </w:r>
      <w:r w:rsidRPr="009971F6">
        <w:rPr>
          <w:rFonts w:ascii="Times New Roman" w:eastAsiaTheme="minorHAnsi" w:hAnsi="Times New Roman"/>
          <w:b/>
          <w:bCs/>
          <w:color w:val="202122"/>
          <w:sz w:val="24"/>
          <w:szCs w:val="24"/>
          <w:shd w:val="clear" w:color="auto" w:fill="FFFFFF"/>
          <w:lang w:val="en-US" w:eastAsia="en-US"/>
        </w:rPr>
        <w:t>Econometrica,</w:t>
      </w:r>
      <w:r w:rsidRPr="009971F6">
        <w:rPr>
          <w:rFonts w:ascii="Times New Roman" w:eastAsiaTheme="minorHAnsi" w:hAnsi="Times New Roman"/>
          <w:color w:val="202122"/>
          <w:sz w:val="24"/>
          <w:szCs w:val="24"/>
          <w:shd w:val="clear" w:color="auto" w:fill="FFFFFF"/>
          <w:lang w:val="en-US" w:eastAsia="en-US"/>
        </w:rPr>
        <w:t xml:space="preserve"> v. 46, n. 6, p. 1251–1271, 1978.</w:t>
      </w:r>
    </w:p>
    <w:p w14:paraId="28523577" w14:textId="77777777" w:rsidR="009971F6" w:rsidRPr="009971F6" w:rsidRDefault="009971F6" w:rsidP="009971F6">
      <w:pPr>
        <w:spacing w:line="360" w:lineRule="auto"/>
        <w:ind w:right="-1"/>
        <w:jc w:val="both"/>
        <w:rPr>
          <w:iCs/>
          <w:lang w:val="en-US"/>
        </w:rPr>
      </w:pPr>
      <w:r w:rsidRPr="009971F6">
        <w:rPr>
          <w:iCs/>
          <w:lang w:val="en-US"/>
        </w:rPr>
        <w:t xml:space="preserve">HOLTZ-EAKIN, D.; SELDEN, T. M. Stoking the fires? CO2 emissions and economic growth. </w:t>
      </w:r>
      <w:r w:rsidRPr="009971F6">
        <w:rPr>
          <w:b/>
          <w:bCs/>
          <w:iCs/>
          <w:lang w:val="en-US"/>
        </w:rPr>
        <w:t>Journal of public economics,</w:t>
      </w:r>
      <w:r w:rsidRPr="009971F6">
        <w:rPr>
          <w:iCs/>
          <w:lang w:val="en-US"/>
        </w:rPr>
        <w:t xml:space="preserve"> v. 57, n. 1, p. 85-101, 1995.</w:t>
      </w:r>
    </w:p>
    <w:p w14:paraId="74D9ED12" w14:textId="77777777" w:rsidR="009971F6" w:rsidRPr="009971F6" w:rsidRDefault="009971F6" w:rsidP="009971F6">
      <w:pPr>
        <w:spacing w:line="360" w:lineRule="auto"/>
        <w:ind w:right="-1"/>
        <w:jc w:val="both"/>
        <w:rPr>
          <w:noProof/>
          <w:lang w:val="en-US"/>
        </w:rPr>
      </w:pPr>
      <w:r w:rsidRPr="009971F6">
        <w:rPr>
          <w:noProof/>
          <w:lang w:val="en-US"/>
        </w:rPr>
        <w:t xml:space="preserve">HYDE, W. </w:t>
      </w:r>
      <w:r w:rsidRPr="009971F6">
        <w:rPr>
          <w:b/>
          <w:bCs/>
          <w:noProof/>
          <w:lang w:val="en-US"/>
        </w:rPr>
        <w:t>The Global Economics of Foresty.</w:t>
      </w:r>
      <w:r w:rsidRPr="009971F6">
        <w:rPr>
          <w:noProof/>
          <w:lang w:val="en-US"/>
        </w:rPr>
        <w:t xml:space="preserve"> Nova York, RFF Press, 2012. p. 13–93.</w:t>
      </w:r>
    </w:p>
    <w:p w14:paraId="6768B962" w14:textId="77777777" w:rsidR="009971F6" w:rsidRPr="009971F6" w:rsidRDefault="009971F6" w:rsidP="009971F6">
      <w:pPr>
        <w:pStyle w:val="NormalWeb"/>
        <w:spacing w:before="0" w:after="0" w:line="360" w:lineRule="auto"/>
        <w:ind w:left="0" w:right="-1"/>
        <w:jc w:val="both"/>
        <w:rPr>
          <w:rFonts w:ascii="Times New Roman" w:hAnsi="Times New Roman"/>
          <w:sz w:val="24"/>
          <w:szCs w:val="24"/>
        </w:rPr>
      </w:pPr>
      <w:r w:rsidRPr="009971F6">
        <w:rPr>
          <w:rFonts w:ascii="Times New Roman" w:hAnsi="Times New Roman"/>
          <w:sz w:val="24"/>
          <w:szCs w:val="24"/>
        </w:rPr>
        <w:t xml:space="preserve">IBAMA - INSTITUTO BRASILEIRO DO MEIO AMBIENTE E DOS RECURSOS RENOVÁVEIS. </w:t>
      </w:r>
      <w:r w:rsidRPr="009971F6">
        <w:rPr>
          <w:rFonts w:ascii="Times New Roman" w:hAnsi="Times New Roman"/>
          <w:b/>
          <w:bCs/>
          <w:sz w:val="24"/>
          <w:szCs w:val="24"/>
        </w:rPr>
        <w:t>Multas e Autuações</w:t>
      </w:r>
      <w:r w:rsidRPr="009971F6">
        <w:rPr>
          <w:rFonts w:ascii="Times New Roman" w:hAnsi="Times New Roman"/>
          <w:sz w:val="24"/>
          <w:szCs w:val="24"/>
        </w:rPr>
        <w:t xml:space="preserve">. Disponível em: </w:t>
      </w:r>
      <w:r w:rsidRPr="009971F6">
        <w:rPr>
          <w:rFonts w:ascii="Times New Roman" w:hAnsi="Times New Roman"/>
          <w:sz w:val="24"/>
          <w:szCs w:val="24"/>
        </w:rPr>
        <w:lastRenderedPageBreak/>
        <w:t xml:space="preserve">&lt;https://servicos.ibama.gov.br/ctf/publico/areasembargadas/ConsultaPublicaAreasEmbargadas.php&gt;. Acesso em: 1 mar. 2023. </w:t>
      </w:r>
    </w:p>
    <w:p w14:paraId="379CC988" w14:textId="77777777" w:rsidR="009971F6" w:rsidRPr="009971F6" w:rsidRDefault="009971F6" w:rsidP="009971F6">
      <w:pPr>
        <w:pStyle w:val="NormalWeb"/>
        <w:spacing w:before="0" w:after="0" w:line="360" w:lineRule="auto"/>
        <w:ind w:left="0" w:right="-1"/>
        <w:jc w:val="both"/>
        <w:rPr>
          <w:rFonts w:ascii="Times New Roman" w:hAnsi="Times New Roman"/>
          <w:sz w:val="24"/>
          <w:szCs w:val="24"/>
        </w:rPr>
      </w:pPr>
      <w:r w:rsidRPr="009971F6">
        <w:rPr>
          <w:rFonts w:ascii="Times New Roman" w:hAnsi="Times New Roman"/>
          <w:sz w:val="24"/>
          <w:szCs w:val="24"/>
        </w:rPr>
        <w:t>IBGE - INSTITUTO BRASILEIRO DE GEOGRAFIA E ESTATÍSTICA.</w:t>
      </w:r>
      <w:r w:rsidRPr="009971F6">
        <w:rPr>
          <w:rFonts w:ascii="Times New Roman" w:hAnsi="Times New Roman"/>
          <w:b/>
          <w:bCs/>
          <w:sz w:val="24"/>
          <w:szCs w:val="24"/>
        </w:rPr>
        <w:t xml:space="preserve"> Sistema de Recuperação Automática - SIDRA</w:t>
      </w:r>
      <w:r w:rsidRPr="009971F6">
        <w:rPr>
          <w:rFonts w:ascii="Times New Roman" w:hAnsi="Times New Roman"/>
          <w:sz w:val="24"/>
          <w:szCs w:val="24"/>
        </w:rPr>
        <w:t xml:space="preserve">. 2023. Disponível em: &lt;https://sidra.ibge.gov.br/home/pms/brasil&gt;. Acesso em: 5 jan. 2023. </w:t>
      </w:r>
    </w:p>
    <w:p w14:paraId="14EC3396" w14:textId="77777777" w:rsidR="009971F6" w:rsidRPr="009971F6" w:rsidRDefault="009971F6" w:rsidP="009971F6">
      <w:pPr>
        <w:spacing w:line="360" w:lineRule="auto"/>
        <w:ind w:right="-1"/>
        <w:jc w:val="both"/>
      </w:pPr>
      <w:r w:rsidRPr="009971F6">
        <w:t xml:space="preserve">IBGE - INSTITUTO BRASILEIRO DE GEOGRAFIA E ESTATÍSTICA. </w:t>
      </w:r>
      <w:r w:rsidRPr="009971F6">
        <w:rPr>
          <w:b/>
          <w:bCs/>
        </w:rPr>
        <w:t>Amazônia Legal</w:t>
      </w:r>
      <w:r w:rsidRPr="009971F6">
        <w:t>. 2021. Disponível em: &lt;https://www.ibge.gov.br/geociencias/cartas-e-mapas/mapas-regionais/15819-amazonia-legal.html?=&amp;t=o-que-e&gt;. Acesso em: 15 dez. 2022.</w:t>
      </w:r>
    </w:p>
    <w:p w14:paraId="4483B86A" w14:textId="77777777" w:rsidR="009971F6" w:rsidRPr="009971F6" w:rsidRDefault="009971F6" w:rsidP="009971F6">
      <w:pPr>
        <w:widowControl w:val="0"/>
        <w:autoSpaceDE w:val="0"/>
        <w:autoSpaceDN w:val="0"/>
        <w:adjustRightInd w:val="0"/>
        <w:spacing w:line="360" w:lineRule="auto"/>
        <w:ind w:right="-1"/>
        <w:jc w:val="both"/>
      </w:pPr>
      <w:r w:rsidRPr="009971F6">
        <w:t xml:space="preserve">INPE - INSTITUTO NACIONAL DE PESQUISAS ESPACIAIS. </w:t>
      </w:r>
      <w:r w:rsidRPr="009971F6">
        <w:rPr>
          <w:b/>
          <w:bCs/>
        </w:rPr>
        <w:t>Coordenação-Geral de Observação da Terra (DETER)</w:t>
      </w:r>
      <w:r w:rsidRPr="009971F6">
        <w:t xml:space="preserve">. 2023b. Disponível em: &lt;http://www.obt.inpe.br/OBT/assuntos/programas/amazonia/deter/deter&gt;. Acesso em: 10 jan. 2023. </w:t>
      </w:r>
    </w:p>
    <w:p w14:paraId="0C4699D2" w14:textId="77777777" w:rsidR="009971F6" w:rsidRPr="009971F6" w:rsidRDefault="009971F6" w:rsidP="009971F6">
      <w:pPr>
        <w:pStyle w:val="NormalWeb"/>
        <w:spacing w:before="0" w:after="0" w:line="360" w:lineRule="auto"/>
        <w:ind w:left="0" w:right="-1"/>
        <w:jc w:val="both"/>
        <w:rPr>
          <w:rFonts w:ascii="Times New Roman" w:hAnsi="Times New Roman"/>
          <w:sz w:val="24"/>
          <w:szCs w:val="24"/>
        </w:rPr>
      </w:pPr>
      <w:r w:rsidRPr="009971F6">
        <w:rPr>
          <w:rFonts w:ascii="Times New Roman" w:hAnsi="Times New Roman"/>
          <w:sz w:val="24"/>
          <w:szCs w:val="24"/>
        </w:rPr>
        <w:t xml:space="preserve">INPE - INSTITUTO NACIONAL DE PESQUISAS ESPACIAIS. Monitoramento do Desmatamento da Floresta Amazônica Brasileira por Satélite. </w:t>
      </w:r>
      <w:r w:rsidRPr="009971F6">
        <w:rPr>
          <w:rFonts w:ascii="Times New Roman" w:hAnsi="Times New Roman"/>
          <w:b/>
          <w:bCs/>
          <w:sz w:val="24"/>
          <w:szCs w:val="24"/>
        </w:rPr>
        <w:t xml:space="preserve">PRODES. </w:t>
      </w:r>
      <w:r w:rsidRPr="009971F6">
        <w:rPr>
          <w:rFonts w:ascii="Times New Roman" w:hAnsi="Times New Roman"/>
          <w:sz w:val="24"/>
          <w:szCs w:val="24"/>
        </w:rPr>
        <w:t xml:space="preserve">Coordenação-Geral de Observação da Terra. 2022. Disponível em: &lt;http://www.obt.inpe.br/OBT/assuntos/programas/amazonia/prodes&gt;. Acesso em: 15 dez 2022. </w:t>
      </w:r>
    </w:p>
    <w:p w14:paraId="0B87C291" w14:textId="77777777" w:rsidR="009971F6" w:rsidRPr="009971F6" w:rsidRDefault="009971F6" w:rsidP="009971F6">
      <w:pPr>
        <w:pStyle w:val="NormalWeb"/>
        <w:spacing w:before="0" w:after="0" w:line="360" w:lineRule="auto"/>
        <w:ind w:left="0" w:right="-1"/>
        <w:jc w:val="both"/>
        <w:rPr>
          <w:rFonts w:ascii="Times New Roman" w:hAnsi="Times New Roman"/>
          <w:sz w:val="24"/>
          <w:szCs w:val="24"/>
        </w:rPr>
      </w:pPr>
      <w:r w:rsidRPr="009971F6">
        <w:rPr>
          <w:rFonts w:ascii="Times New Roman" w:hAnsi="Times New Roman"/>
          <w:sz w:val="24"/>
          <w:szCs w:val="24"/>
        </w:rPr>
        <w:t xml:space="preserve">INPE - INSTITUTO NACIONAL DE PESQUISAS ESPACIAIS. </w:t>
      </w:r>
      <w:r w:rsidRPr="009971F6">
        <w:rPr>
          <w:rFonts w:ascii="Times New Roman" w:hAnsi="Times New Roman"/>
          <w:b/>
          <w:bCs/>
          <w:sz w:val="24"/>
          <w:szCs w:val="24"/>
        </w:rPr>
        <w:t xml:space="preserve">TERRACLASS. </w:t>
      </w:r>
      <w:r w:rsidRPr="009971F6">
        <w:rPr>
          <w:rFonts w:ascii="Times New Roman" w:hAnsi="Times New Roman"/>
          <w:sz w:val="24"/>
          <w:szCs w:val="24"/>
        </w:rPr>
        <w:t>INPE/Centro Regional da Amazônia de Pesquisas Espaciais</w:t>
      </w:r>
      <w:r w:rsidRPr="009971F6">
        <w:rPr>
          <w:rFonts w:ascii="Times New Roman" w:hAnsi="Times New Roman"/>
          <w:b/>
          <w:bCs/>
          <w:sz w:val="24"/>
          <w:szCs w:val="24"/>
        </w:rPr>
        <w:t>.</w:t>
      </w:r>
      <w:r w:rsidRPr="009971F6">
        <w:rPr>
          <w:rFonts w:ascii="Times New Roman" w:hAnsi="Times New Roman"/>
          <w:sz w:val="24"/>
          <w:szCs w:val="24"/>
        </w:rPr>
        <w:t xml:space="preserve"> 2023a. Disponível em: &lt;http://www.inpe.br/cra/projetos_pesquisas/dados_terraclass.php&gt;.  Acesso em: 10 jan. 2023.</w:t>
      </w:r>
    </w:p>
    <w:p w14:paraId="723FEDC5" w14:textId="77777777" w:rsidR="009971F6" w:rsidRPr="00B1350E" w:rsidRDefault="009971F6" w:rsidP="009971F6">
      <w:pPr>
        <w:pStyle w:val="NormalWeb"/>
        <w:spacing w:before="0" w:after="0" w:line="360" w:lineRule="auto"/>
        <w:ind w:left="0" w:right="-1"/>
        <w:jc w:val="both"/>
        <w:rPr>
          <w:rFonts w:ascii="Times New Roman" w:hAnsi="Times New Roman"/>
          <w:sz w:val="24"/>
          <w:szCs w:val="24"/>
          <w:lang w:val="en-US"/>
        </w:rPr>
      </w:pPr>
      <w:r w:rsidRPr="009971F6">
        <w:rPr>
          <w:rFonts w:ascii="Times New Roman" w:hAnsi="Times New Roman"/>
          <w:sz w:val="24"/>
          <w:szCs w:val="24"/>
        </w:rPr>
        <w:t xml:space="preserve">INPE - INSTITUTO NACIONAL DE PESQUISAS ESPACIAIS. </w:t>
      </w:r>
      <w:r w:rsidRPr="009971F6">
        <w:rPr>
          <w:rFonts w:ascii="Times New Roman" w:hAnsi="Times New Roman"/>
          <w:b/>
          <w:bCs/>
          <w:sz w:val="24"/>
          <w:szCs w:val="24"/>
        </w:rPr>
        <w:t xml:space="preserve">TERRABRASILIS. </w:t>
      </w:r>
      <w:r w:rsidRPr="009971F6">
        <w:rPr>
          <w:rFonts w:ascii="Times New Roman" w:hAnsi="Times New Roman"/>
          <w:sz w:val="24"/>
          <w:szCs w:val="24"/>
        </w:rPr>
        <w:t xml:space="preserve">Geographic Data Platform. 2023c. Disponível em: &lt;http://terrabrasilis.dpi.inpe.br&gt;. </w:t>
      </w:r>
      <w:r w:rsidRPr="00B1350E">
        <w:rPr>
          <w:rFonts w:ascii="Times New Roman" w:hAnsi="Times New Roman"/>
          <w:sz w:val="24"/>
          <w:szCs w:val="24"/>
          <w:lang w:val="en-US"/>
        </w:rPr>
        <w:t xml:space="preserve">Acesso em: 15 jan. 2023. </w:t>
      </w:r>
    </w:p>
    <w:p w14:paraId="19918825" w14:textId="77777777" w:rsidR="009971F6" w:rsidRPr="009971F6" w:rsidRDefault="009971F6" w:rsidP="009971F6">
      <w:pPr>
        <w:spacing w:line="360" w:lineRule="auto"/>
        <w:ind w:right="-1"/>
        <w:jc w:val="both"/>
        <w:rPr>
          <w:iCs/>
          <w:lang w:val="en-US"/>
        </w:rPr>
      </w:pPr>
      <w:r w:rsidRPr="009971F6">
        <w:rPr>
          <w:iCs/>
          <w:lang w:val="en-US"/>
        </w:rPr>
        <w:t xml:space="preserve">KUZNETS, S. Economic Growth and Income Inequality. </w:t>
      </w:r>
      <w:r w:rsidRPr="009971F6">
        <w:rPr>
          <w:b/>
          <w:bCs/>
          <w:iCs/>
          <w:lang w:val="en-US"/>
        </w:rPr>
        <w:t>American Economic Review,</w:t>
      </w:r>
      <w:r w:rsidRPr="009971F6">
        <w:rPr>
          <w:iCs/>
          <w:lang w:val="en-US"/>
        </w:rPr>
        <w:t xml:space="preserve"> v. 45, n. 1, p. 1–28, 1955. </w:t>
      </w:r>
    </w:p>
    <w:p w14:paraId="7F20A45E" w14:textId="77777777" w:rsidR="009971F6" w:rsidRPr="009971F6" w:rsidRDefault="009971F6" w:rsidP="009971F6">
      <w:pPr>
        <w:pStyle w:val="NormalWeb"/>
        <w:spacing w:before="0" w:after="0" w:line="360" w:lineRule="auto"/>
        <w:ind w:left="0" w:right="-1"/>
        <w:jc w:val="both"/>
        <w:rPr>
          <w:rFonts w:ascii="Times New Roman" w:hAnsi="Times New Roman"/>
          <w:sz w:val="24"/>
          <w:szCs w:val="24"/>
        </w:rPr>
      </w:pPr>
      <w:r w:rsidRPr="009971F6">
        <w:rPr>
          <w:rFonts w:ascii="Times New Roman" w:hAnsi="Times New Roman"/>
          <w:sz w:val="24"/>
          <w:szCs w:val="24"/>
        </w:rPr>
        <w:t xml:space="preserve">MARQUES, L. D. </w:t>
      </w:r>
      <w:r w:rsidRPr="009971F6">
        <w:rPr>
          <w:rFonts w:ascii="Times New Roman" w:hAnsi="Times New Roman"/>
          <w:b/>
          <w:bCs/>
          <w:sz w:val="24"/>
          <w:szCs w:val="24"/>
        </w:rPr>
        <w:t xml:space="preserve">Modelos Dinâmicos com Dados em Painel: revisão de literatura. </w:t>
      </w:r>
      <w:r w:rsidRPr="009971F6">
        <w:rPr>
          <w:rFonts w:ascii="Times New Roman" w:hAnsi="Times New Roman"/>
          <w:sz w:val="24"/>
          <w:szCs w:val="24"/>
        </w:rPr>
        <w:t>Faculdade de Economia do Porto.</w:t>
      </w:r>
      <w:r w:rsidRPr="009971F6">
        <w:rPr>
          <w:rFonts w:ascii="Times New Roman" w:hAnsi="Times New Roman"/>
          <w:b/>
          <w:bCs/>
          <w:sz w:val="24"/>
          <w:szCs w:val="24"/>
        </w:rPr>
        <w:t xml:space="preserve"> </w:t>
      </w:r>
      <w:r w:rsidRPr="009971F6">
        <w:rPr>
          <w:rFonts w:ascii="Times New Roman" w:hAnsi="Times New Roman"/>
          <w:sz w:val="24"/>
          <w:szCs w:val="24"/>
        </w:rPr>
        <w:t>2010. 84 p.</w:t>
      </w:r>
    </w:p>
    <w:p w14:paraId="224E9B71" w14:textId="77777777" w:rsidR="009971F6" w:rsidRPr="009971F6" w:rsidRDefault="009971F6" w:rsidP="009971F6">
      <w:pPr>
        <w:spacing w:line="360" w:lineRule="auto"/>
        <w:ind w:right="-1"/>
        <w:jc w:val="both"/>
        <w:rPr>
          <w:iCs/>
          <w:lang w:val="en-US"/>
        </w:rPr>
      </w:pPr>
      <w:r w:rsidRPr="003A02D1">
        <w:rPr>
          <w:rStyle w:val="cf01"/>
          <w:sz w:val="24"/>
          <w:szCs w:val="24"/>
        </w:rPr>
        <w:t xml:space="preserve">MATHER, A. S. The Forest Transition. </w:t>
      </w:r>
      <w:r w:rsidRPr="009971F6">
        <w:rPr>
          <w:rStyle w:val="cf01"/>
          <w:sz w:val="24"/>
          <w:szCs w:val="24"/>
          <w:lang w:val="en-US"/>
        </w:rPr>
        <w:t>Area, v. 24, n. 4, p. 367–379, 1992.</w:t>
      </w:r>
    </w:p>
    <w:p w14:paraId="3CAE0A1B" w14:textId="77777777" w:rsidR="009971F6" w:rsidRPr="009971F6" w:rsidRDefault="009971F6" w:rsidP="009971F6">
      <w:pPr>
        <w:spacing w:line="360" w:lineRule="auto"/>
        <w:ind w:right="-1"/>
        <w:jc w:val="both"/>
        <w:rPr>
          <w:iCs/>
          <w:lang w:val="en-US"/>
        </w:rPr>
      </w:pPr>
      <w:r w:rsidRPr="009971F6">
        <w:rPr>
          <w:iCs/>
          <w:lang w:val="en-US"/>
        </w:rPr>
        <w:t xml:space="preserve">MATHER, A. S.; NEEDLE. C. L. The forest transition: a theoretical basis. </w:t>
      </w:r>
      <w:r w:rsidRPr="009971F6">
        <w:rPr>
          <w:b/>
          <w:bCs/>
          <w:iCs/>
          <w:lang w:val="en-US"/>
        </w:rPr>
        <w:t>Area,</w:t>
      </w:r>
      <w:r w:rsidRPr="009971F6">
        <w:rPr>
          <w:iCs/>
          <w:lang w:val="en-US"/>
        </w:rPr>
        <w:t xml:space="preserve"> v. 30, n. 2, p. 117–124, 1998.</w:t>
      </w:r>
    </w:p>
    <w:p w14:paraId="7BC66F4B" w14:textId="77777777" w:rsidR="009971F6" w:rsidRPr="009971F6" w:rsidRDefault="009971F6" w:rsidP="009971F6">
      <w:pPr>
        <w:widowControl w:val="0"/>
        <w:autoSpaceDE w:val="0"/>
        <w:autoSpaceDN w:val="0"/>
        <w:adjustRightInd w:val="0"/>
        <w:spacing w:line="360" w:lineRule="auto"/>
        <w:ind w:right="-1"/>
        <w:jc w:val="both"/>
        <w:rPr>
          <w:iCs/>
          <w:color w:val="000000"/>
          <w:lang w:val="en-US"/>
        </w:rPr>
      </w:pPr>
      <w:r w:rsidRPr="009971F6">
        <w:rPr>
          <w:iCs/>
          <w:color w:val="000000"/>
          <w:lang w:val="en-US"/>
        </w:rPr>
        <w:t xml:space="preserve">LAMBIN, E. F.; MEYFROIDT, P. Land use transitions: Socio-ecological feedback versus socio-economic change. </w:t>
      </w:r>
      <w:r w:rsidRPr="009971F6">
        <w:rPr>
          <w:b/>
          <w:bCs/>
          <w:iCs/>
          <w:color w:val="000000"/>
          <w:lang w:val="en-US"/>
        </w:rPr>
        <w:t>Land Use Policy,</w:t>
      </w:r>
      <w:r w:rsidRPr="009971F6">
        <w:rPr>
          <w:iCs/>
          <w:color w:val="000000"/>
          <w:lang w:val="en-US"/>
        </w:rPr>
        <w:t xml:space="preserve"> v. 27, n. 5, p. 108–118, 2010.</w:t>
      </w:r>
    </w:p>
    <w:p w14:paraId="06A88703" w14:textId="77777777" w:rsidR="009971F6" w:rsidRPr="009971F6" w:rsidRDefault="009971F6" w:rsidP="009971F6">
      <w:pPr>
        <w:pStyle w:val="NormalWeb"/>
        <w:spacing w:before="0" w:after="0" w:line="360" w:lineRule="auto"/>
        <w:ind w:left="0" w:right="-1"/>
        <w:jc w:val="both"/>
        <w:rPr>
          <w:rFonts w:ascii="Times New Roman" w:hAnsi="Times New Roman"/>
          <w:sz w:val="24"/>
          <w:szCs w:val="24"/>
          <w:lang w:val="en-US"/>
        </w:rPr>
      </w:pPr>
      <w:r w:rsidRPr="009971F6">
        <w:rPr>
          <w:rFonts w:ascii="Times New Roman" w:hAnsi="Times New Roman"/>
          <w:sz w:val="24"/>
          <w:szCs w:val="24"/>
          <w:lang w:val="de-DE"/>
        </w:rPr>
        <w:lastRenderedPageBreak/>
        <w:t xml:space="preserve">OMETTO, J. P.; AGUIAR A.P.D.; MARTINELLI, L.A. </w:t>
      </w:r>
      <w:r w:rsidRPr="003A02D1">
        <w:rPr>
          <w:rFonts w:ascii="Times New Roman" w:hAnsi="Times New Roman"/>
          <w:sz w:val="24"/>
          <w:szCs w:val="24"/>
          <w:lang w:val="it-IT"/>
        </w:rPr>
        <w:t xml:space="preserve"> </w:t>
      </w:r>
      <w:r w:rsidRPr="009971F6">
        <w:rPr>
          <w:rFonts w:ascii="Times New Roman" w:hAnsi="Times New Roman"/>
          <w:sz w:val="24"/>
          <w:szCs w:val="24"/>
          <w:lang w:val="en-US"/>
        </w:rPr>
        <w:t xml:space="preserve">Amazon deforestation in Brazil: effects, drivers and challenges. </w:t>
      </w:r>
      <w:r w:rsidRPr="009971F6">
        <w:rPr>
          <w:rFonts w:ascii="Times New Roman" w:hAnsi="Times New Roman"/>
          <w:b/>
          <w:bCs/>
          <w:sz w:val="24"/>
          <w:szCs w:val="24"/>
          <w:lang w:val="en-US"/>
        </w:rPr>
        <w:t>Carbon Management,</w:t>
      </w:r>
      <w:r w:rsidRPr="009971F6">
        <w:rPr>
          <w:rFonts w:ascii="Times New Roman" w:hAnsi="Times New Roman"/>
          <w:sz w:val="24"/>
          <w:szCs w:val="24"/>
          <w:lang w:val="en-US"/>
        </w:rPr>
        <w:t xml:space="preserve"> v. 2, n. 5, p. 575–585, 2011. </w:t>
      </w:r>
    </w:p>
    <w:p w14:paraId="0A502DD3" w14:textId="77777777" w:rsidR="009971F6" w:rsidRPr="009971F6" w:rsidRDefault="009971F6" w:rsidP="009971F6">
      <w:pPr>
        <w:spacing w:line="360" w:lineRule="auto"/>
        <w:ind w:right="-1"/>
        <w:jc w:val="both"/>
        <w:rPr>
          <w:lang w:val="en-US"/>
        </w:rPr>
      </w:pPr>
      <w:r w:rsidRPr="009971F6">
        <w:rPr>
          <w:lang w:val="en-US"/>
        </w:rPr>
        <w:t xml:space="preserve">PANAYOTOU T. </w:t>
      </w:r>
      <w:r w:rsidRPr="009971F6">
        <w:rPr>
          <w:b/>
          <w:bCs/>
          <w:lang w:val="en-US"/>
        </w:rPr>
        <w:t>Empirical tests and policy analysis of environmental degradation at different stages of economic development.</w:t>
      </w:r>
      <w:r w:rsidRPr="009971F6">
        <w:rPr>
          <w:lang w:val="en-US"/>
        </w:rPr>
        <w:t xml:space="preserve"> Genebra: International Labour Office, 1993. </w:t>
      </w:r>
    </w:p>
    <w:p w14:paraId="40FA9FD0" w14:textId="77777777" w:rsidR="009971F6" w:rsidRPr="009971F6" w:rsidRDefault="009971F6" w:rsidP="009971F6">
      <w:pPr>
        <w:spacing w:line="360" w:lineRule="auto"/>
        <w:ind w:right="-1"/>
        <w:jc w:val="both"/>
        <w:rPr>
          <w:lang w:val="en-US"/>
        </w:rPr>
      </w:pPr>
      <w:r w:rsidRPr="009971F6">
        <w:rPr>
          <w:lang w:val="en-US"/>
        </w:rPr>
        <w:t xml:space="preserve">PERZ, S. G.; SKOLE, D. L. Secondary Forest Expansion in the Brazilian Amazon and the Refinement of Forest Transition Theory. </w:t>
      </w:r>
      <w:r w:rsidRPr="009971F6">
        <w:rPr>
          <w:b/>
          <w:bCs/>
          <w:lang w:val="en-US"/>
        </w:rPr>
        <w:t>Society &amp; Natural Resources,</w:t>
      </w:r>
      <w:r w:rsidRPr="009971F6">
        <w:rPr>
          <w:lang w:val="en-US"/>
        </w:rPr>
        <w:t xml:space="preserve"> v. 16, n. 4, p. 277–294, 2003. </w:t>
      </w:r>
    </w:p>
    <w:p w14:paraId="69D1D630" w14:textId="77777777" w:rsidR="009971F6" w:rsidRPr="009971F6" w:rsidRDefault="009971F6" w:rsidP="009971F6">
      <w:pPr>
        <w:pStyle w:val="NormalWeb"/>
        <w:spacing w:before="0" w:after="0" w:line="360" w:lineRule="auto"/>
        <w:ind w:left="0" w:right="-1"/>
        <w:jc w:val="both"/>
        <w:rPr>
          <w:rFonts w:ascii="Times New Roman" w:hAnsi="Times New Roman"/>
          <w:sz w:val="24"/>
          <w:szCs w:val="24"/>
          <w:lang w:val="en-US"/>
        </w:rPr>
      </w:pPr>
      <w:r w:rsidRPr="009971F6">
        <w:rPr>
          <w:rFonts w:ascii="Times New Roman" w:hAnsi="Times New Roman"/>
          <w:sz w:val="24"/>
          <w:szCs w:val="24"/>
          <w:lang w:val="en-US"/>
        </w:rPr>
        <w:t xml:space="preserve">PFAFF, A.; WALKER, R. Regional interdependence and forest “transitions”: Substitute deforestation limits the relevance of local reversals. </w:t>
      </w:r>
      <w:r w:rsidRPr="009971F6">
        <w:rPr>
          <w:rFonts w:ascii="Times New Roman" w:hAnsi="Times New Roman"/>
          <w:b/>
          <w:bCs/>
          <w:sz w:val="24"/>
          <w:szCs w:val="24"/>
          <w:lang w:val="en-US"/>
        </w:rPr>
        <w:t xml:space="preserve">Land Use Policy, </w:t>
      </w:r>
      <w:r w:rsidRPr="009971F6">
        <w:rPr>
          <w:rFonts w:ascii="Times New Roman" w:hAnsi="Times New Roman"/>
          <w:sz w:val="24"/>
          <w:szCs w:val="24"/>
          <w:lang w:val="en-US"/>
        </w:rPr>
        <w:t xml:space="preserve">v. 27, n. 2, p. 119–129, 2010. </w:t>
      </w:r>
    </w:p>
    <w:p w14:paraId="3212D14C" w14:textId="77777777" w:rsidR="009971F6" w:rsidRPr="009971F6" w:rsidRDefault="009971F6" w:rsidP="009971F6">
      <w:pPr>
        <w:spacing w:line="360" w:lineRule="auto"/>
        <w:ind w:right="-1"/>
        <w:jc w:val="both"/>
        <w:rPr>
          <w:lang w:val="en-US"/>
        </w:rPr>
      </w:pPr>
      <w:r w:rsidRPr="009971F6">
        <w:rPr>
          <w:lang w:val="en-US"/>
        </w:rPr>
        <w:t xml:space="preserve">ROSA, M. R.; BRANCALION, P. H. S.; CROUZEILLES, R.; TAMBOSI, L. R.; PIFFER, P. R.; LENTI, F. E. B.; HIROTA, M.; SANTIAMI, E.; METZGER, J. P. Hidden destruction of older forests threatens Brazil’s Atlantic Forest and challenges restoration programs. </w:t>
      </w:r>
      <w:r w:rsidRPr="009971F6">
        <w:rPr>
          <w:b/>
          <w:bCs/>
          <w:lang w:val="en-US"/>
        </w:rPr>
        <w:t xml:space="preserve">Science Advances, </w:t>
      </w:r>
      <w:r w:rsidRPr="009971F6">
        <w:rPr>
          <w:lang w:val="en-US"/>
        </w:rPr>
        <w:t xml:space="preserve">v. 7, n. 4, p. 1–9, 2021. </w:t>
      </w:r>
    </w:p>
    <w:p w14:paraId="16F40CA1" w14:textId="77777777" w:rsidR="009971F6" w:rsidRPr="009971F6" w:rsidRDefault="009971F6" w:rsidP="009971F6">
      <w:pPr>
        <w:widowControl w:val="0"/>
        <w:autoSpaceDE w:val="0"/>
        <w:autoSpaceDN w:val="0"/>
        <w:adjustRightInd w:val="0"/>
        <w:spacing w:line="360" w:lineRule="auto"/>
        <w:ind w:right="-1"/>
        <w:jc w:val="both"/>
        <w:rPr>
          <w:iCs/>
          <w:lang w:val="en-US"/>
        </w:rPr>
      </w:pPr>
      <w:r w:rsidRPr="009971F6">
        <w:rPr>
          <w:iCs/>
          <w:lang w:val="en-US"/>
        </w:rPr>
        <w:t xml:space="preserve">RUDEL, T. K.; COOMES, O. T.; MORAN, E.; ACHARD, F.; ANGELSEN, A.; XU, J.; LAMBIN, E. Forest transitions: Towards a global understanding of land use change. Global Environmental Change, v. 15, n. 1, p. 23–31, 2005. </w:t>
      </w:r>
    </w:p>
    <w:p w14:paraId="2B9542EC" w14:textId="77777777" w:rsidR="009971F6" w:rsidRPr="009971F6" w:rsidRDefault="009971F6" w:rsidP="009971F6">
      <w:pPr>
        <w:widowControl w:val="0"/>
        <w:autoSpaceDE w:val="0"/>
        <w:autoSpaceDN w:val="0"/>
        <w:adjustRightInd w:val="0"/>
        <w:spacing w:line="360" w:lineRule="auto"/>
        <w:ind w:right="-1"/>
        <w:jc w:val="both"/>
      </w:pPr>
      <w:r w:rsidRPr="009971F6">
        <w:rPr>
          <w:lang w:val="en-US"/>
        </w:rPr>
        <w:t>SARAIVA, M. B.; FERREIRA, M.D.P.; CUNHA, D.A., DANIEL, L.P.; HOMMA, A.K.O.; PIRES, G.F. Forest regeneration in the Brazilian Amazon: Public policies and economic conditions.</w:t>
      </w:r>
      <w:r w:rsidRPr="009971F6">
        <w:rPr>
          <w:b/>
          <w:bCs/>
          <w:lang w:val="en-US"/>
        </w:rPr>
        <w:t xml:space="preserve"> </w:t>
      </w:r>
      <w:r w:rsidRPr="009971F6">
        <w:rPr>
          <w:b/>
          <w:bCs/>
        </w:rPr>
        <w:t>Journal of Cleaner Production,</w:t>
      </w:r>
      <w:r w:rsidRPr="009971F6">
        <w:t xml:space="preserve"> v. 269, 112424, 2020. </w:t>
      </w:r>
    </w:p>
    <w:p w14:paraId="183527B0" w14:textId="77777777" w:rsidR="009971F6" w:rsidRPr="009971F6" w:rsidRDefault="009971F6" w:rsidP="009971F6">
      <w:pPr>
        <w:spacing w:line="360" w:lineRule="auto"/>
        <w:ind w:right="-1"/>
        <w:jc w:val="both"/>
        <w:rPr>
          <w:color w:val="333333"/>
          <w:lang w:val="en-US"/>
        </w:rPr>
      </w:pPr>
      <w:r w:rsidRPr="009971F6">
        <w:rPr>
          <w:color w:val="333333"/>
        </w:rPr>
        <w:t xml:space="preserve">SARAIVA, M. B. </w:t>
      </w:r>
      <w:r w:rsidRPr="009971F6">
        <w:rPr>
          <w:b/>
          <w:bCs/>
          <w:color w:val="333333"/>
        </w:rPr>
        <w:t>Transição florestal no bioma Amazônia: dinâmica e condicionantes socioeconômicos</w:t>
      </w:r>
      <w:r w:rsidRPr="009971F6">
        <w:rPr>
          <w:color w:val="333333"/>
        </w:rPr>
        <w:t xml:space="preserve">. 2017. 80f. Tese (Doutorado em Economia Aplicada) - Universidade Federal de Viçosa, Viçosa. </w:t>
      </w:r>
      <w:r w:rsidRPr="009971F6">
        <w:rPr>
          <w:color w:val="333333"/>
          <w:lang w:val="en-US"/>
        </w:rPr>
        <w:t>2017.</w:t>
      </w:r>
    </w:p>
    <w:p w14:paraId="4A403725" w14:textId="77777777" w:rsidR="009971F6" w:rsidRPr="009971F6" w:rsidRDefault="009971F6" w:rsidP="009971F6">
      <w:pPr>
        <w:spacing w:line="360" w:lineRule="auto"/>
        <w:ind w:right="-1"/>
        <w:jc w:val="both"/>
        <w:rPr>
          <w:iCs/>
        </w:rPr>
      </w:pPr>
      <w:r w:rsidRPr="009971F6">
        <w:rPr>
          <w:iCs/>
          <w:lang w:val="en-US"/>
        </w:rPr>
        <w:t xml:space="preserve">SCHMALENSEE, R.; STOKER, T. M.; JUDSON, R. A. World carbon dioxide emissions: 1950–2050. </w:t>
      </w:r>
      <w:r w:rsidRPr="009971F6">
        <w:rPr>
          <w:b/>
          <w:bCs/>
          <w:iCs/>
        </w:rPr>
        <w:t>Review of Economics and Statistics,</w:t>
      </w:r>
      <w:r w:rsidRPr="009971F6">
        <w:rPr>
          <w:iCs/>
        </w:rPr>
        <w:t xml:space="preserve"> v. 80, n. 1, p. 15-27, 1998.</w:t>
      </w:r>
    </w:p>
    <w:p w14:paraId="1C9066BA" w14:textId="77777777" w:rsidR="009971F6" w:rsidRPr="009971F6" w:rsidRDefault="009971F6" w:rsidP="009971F6">
      <w:pPr>
        <w:pStyle w:val="NormalWeb"/>
        <w:spacing w:before="0" w:after="0" w:line="360" w:lineRule="auto"/>
        <w:ind w:left="0" w:right="-1"/>
        <w:jc w:val="both"/>
        <w:rPr>
          <w:rFonts w:ascii="Times New Roman" w:hAnsi="Times New Roman"/>
          <w:sz w:val="24"/>
          <w:szCs w:val="24"/>
        </w:rPr>
      </w:pPr>
      <w:r w:rsidRPr="009971F6">
        <w:rPr>
          <w:rFonts w:ascii="Times New Roman" w:hAnsi="Times New Roman"/>
          <w:sz w:val="24"/>
          <w:szCs w:val="24"/>
        </w:rPr>
        <w:t xml:space="preserve">SILVA I.A.C.; MARCELINO, G.C.; PARRÉ, J.L. Determinantes do desmatamento nos municípios da Amazônia Legal brasileira: uma análise econométrica espacial. In: XXIII Encontro de Economia da Região Sul – ANPEC SUL, 2020, Porto Alegre. </w:t>
      </w:r>
      <w:r w:rsidRPr="009971F6">
        <w:rPr>
          <w:rFonts w:ascii="Times New Roman" w:hAnsi="Times New Roman"/>
          <w:b/>
          <w:bCs/>
          <w:sz w:val="24"/>
          <w:szCs w:val="24"/>
        </w:rPr>
        <w:t xml:space="preserve">Anais do XXIII Encontro de Economia da Região Sul. </w:t>
      </w:r>
      <w:r w:rsidRPr="009971F6">
        <w:rPr>
          <w:rFonts w:ascii="Times New Roman" w:hAnsi="Times New Roman"/>
          <w:sz w:val="24"/>
          <w:szCs w:val="24"/>
        </w:rPr>
        <w:t>Porto Alegre: 2020.</w:t>
      </w:r>
    </w:p>
    <w:p w14:paraId="6AC1B0B4" w14:textId="77777777" w:rsidR="009971F6" w:rsidRPr="009971F6" w:rsidRDefault="009971F6" w:rsidP="009971F6">
      <w:pPr>
        <w:widowControl w:val="0"/>
        <w:autoSpaceDE w:val="0"/>
        <w:autoSpaceDN w:val="0"/>
        <w:adjustRightInd w:val="0"/>
        <w:spacing w:line="360" w:lineRule="auto"/>
        <w:ind w:right="-1"/>
        <w:jc w:val="both"/>
        <w:rPr>
          <w:lang w:val="en-US"/>
        </w:rPr>
      </w:pPr>
      <w:r w:rsidRPr="009971F6">
        <w:rPr>
          <w:lang w:val="it-IT"/>
        </w:rPr>
        <w:t xml:space="preserve">SULLIVAN, A. O. </w:t>
      </w:r>
      <w:r w:rsidRPr="009971F6">
        <w:rPr>
          <w:b/>
          <w:bCs/>
          <w:lang w:val="it-IT"/>
        </w:rPr>
        <w:t>Urban economics,</w:t>
      </w:r>
      <w:r w:rsidRPr="009971F6">
        <w:rPr>
          <w:lang w:val="it-IT"/>
        </w:rPr>
        <w:t xml:space="preserve"> 4. ed. </w:t>
      </w:r>
      <w:r w:rsidRPr="009971F6">
        <w:rPr>
          <w:lang w:val="en-US"/>
        </w:rPr>
        <w:t>Homewood: Irwin. 1996.</w:t>
      </w:r>
    </w:p>
    <w:p w14:paraId="23A4E001" w14:textId="77777777" w:rsidR="009971F6" w:rsidRPr="001649FF" w:rsidRDefault="009971F6" w:rsidP="009971F6">
      <w:pPr>
        <w:pStyle w:val="NormalWeb"/>
        <w:spacing w:before="0" w:after="0" w:line="360" w:lineRule="auto"/>
        <w:ind w:left="0" w:right="-1"/>
        <w:jc w:val="both"/>
        <w:rPr>
          <w:rFonts w:ascii="Times New Roman" w:hAnsi="Times New Roman"/>
          <w:sz w:val="24"/>
          <w:szCs w:val="24"/>
          <w:lang w:val="en-US"/>
        </w:rPr>
      </w:pPr>
      <w:r w:rsidRPr="009971F6">
        <w:rPr>
          <w:rFonts w:ascii="Times New Roman" w:hAnsi="Times New Roman"/>
          <w:sz w:val="24"/>
          <w:szCs w:val="24"/>
          <w:lang w:val="en-US"/>
        </w:rPr>
        <w:t xml:space="preserve">WEINHOLD, D.; REIS, E. Transportation costs and the spatial distribution of land use in the Brazilian Amazon. </w:t>
      </w:r>
      <w:r w:rsidRPr="009971F6">
        <w:rPr>
          <w:rFonts w:ascii="Times New Roman" w:hAnsi="Times New Roman"/>
          <w:b/>
          <w:bCs/>
          <w:sz w:val="24"/>
          <w:szCs w:val="24"/>
          <w:lang w:val="en-US"/>
        </w:rPr>
        <w:t xml:space="preserve">Global Environmental Change, </w:t>
      </w:r>
      <w:r w:rsidRPr="009971F6">
        <w:rPr>
          <w:rFonts w:ascii="Times New Roman" w:hAnsi="Times New Roman"/>
          <w:sz w:val="24"/>
          <w:szCs w:val="24"/>
          <w:lang w:val="en-US"/>
        </w:rPr>
        <w:t>v. 18, n. 1, p. 54–68, 2008.</w:t>
      </w:r>
      <w:r w:rsidRPr="001649FF">
        <w:rPr>
          <w:rFonts w:ascii="Times New Roman" w:hAnsi="Times New Roman"/>
          <w:sz w:val="24"/>
          <w:szCs w:val="24"/>
          <w:lang w:val="en-US"/>
        </w:rPr>
        <w:t xml:space="preserve"> </w:t>
      </w:r>
    </w:p>
    <w:p w14:paraId="0F96E149" w14:textId="0AA8A901" w:rsidR="008457B1" w:rsidRPr="00573D67" w:rsidRDefault="008457B1" w:rsidP="009971F6">
      <w:pPr>
        <w:pStyle w:val="NormalWeb"/>
        <w:spacing w:before="0" w:after="0" w:line="360" w:lineRule="auto"/>
        <w:ind w:left="0" w:right="-1"/>
        <w:jc w:val="both"/>
      </w:pPr>
    </w:p>
    <w:sectPr w:rsidR="008457B1" w:rsidRPr="00573D67" w:rsidSect="006F34C0">
      <w:footerReference w:type="defaul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1EE0" w14:textId="77777777" w:rsidR="00BE595C" w:rsidRDefault="00BE595C" w:rsidP="00573D67">
      <w:r>
        <w:separator/>
      </w:r>
    </w:p>
  </w:endnote>
  <w:endnote w:type="continuationSeparator" w:id="0">
    <w:p w14:paraId="2793BABB" w14:textId="77777777" w:rsidR="00BE595C" w:rsidRDefault="00BE595C" w:rsidP="0057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716630"/>
      <w:docPartObj>
        <w:docPartGallery w:val="Page Numbers (Bottom of Page)"/>
        <w:docPartUnique/>
      </w:docPartObj>
    </w:sdtPr>
    <w:sdtEndPr/>
    <w:sdtContent>
      <w:p w14:paraId="1A8DB3E4" w14:textId="5D11CED1" w:rsidR="006F34C0" w:rsidRDefault="006F34C0">
        <w:pPr>
          <w:pStyle w:val="Rodap"/>
          <w:jc w:val="right"/>
        </w:pPr>
        <w:r>
          <w:fldChar w:fldCharType="begin"/>
        </w:r>
        <w:r>
          <w:instrText>PAGE   \* MERGEFORMAT</w:instrText>
        </w:r>
        <w:r>
          <w:fldChar w:fldCharType="separate"/>
        </w:r>
        <w:r>
          <w:t>2</w:t>
        </w:r>
        <w:r>
          <w:fldChar w:fldCharType="end"/>
        </w:r>
      </w:p>
    </w:sdtContent>
  </w:sdt>
  <w:p w14:paraId="522D77B2" w14:textId="77777777" w:rsidR="006F34C0" w:rsidRDefault="006F34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300646"/>
      <w:docPartObj>
        <w:docPartGallery w:val="Page Numbers (Bottom of Page)"/>
        <w:docPartUnique/>
      </w:docPartObj>
    </w:sdtPr>
    <w:sdtEndPr/>
    <w:sdtContent>
      <w:p w14:paraId="3321B3D2" w14:textId="250CB768" w:rsidR="00EE16E7" w:rsidRDefault="00EE16E7">
        <w:pPr>
          <w:pStyle w:val="Rodap"/>
          <w:jc w:val="right"/>
        </w:pPr>
        <w:r>
          <w:fldChar w:fldCharType="begin"/>
        </w:r>
        <w:r>
          <w:instrText>PAGE   \* MERGEFORMAT</w:instrText>
        </w:r>
        <w:r>
          <w:fldChar w:fldCharType="separate"/>
        </w:r>
        <w:r>
          <w:t>2</w:t>
        </w:r>
        <w:r>
          <w:fldChar w:fldCharType="end"/>
        </w:r>
      </w:p>
    </w:sdtContent>
  </w:sdt>
  <w:p w14:paraId="245D8771" w14:textId="77777777" w:rsidR="00EE16E7" w:rsidRDefault="00EE16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2AAC" w14:textId="77777777" w:rsidR="00BE595C" w:rsidRDefault="00BE595C" w:rsidP="00573D67">
      <w:r>
        <w:separator/>
      </w:r>
    </w:p>
  </w:footnote>
  <w:footnote w:type="continuationSeparator" w:id="0">
    <w:p w14:paraId="156FDD6F" w14:textId="77777777" w:rsidR="00BE595C" w:rsidRDefault="00BE595C" w:rsidP="0057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7162"/>
    <w:multiLevelType w:val="hybridMultilevel"/>
    <w:tmpl w:val="0B12FC6C"/>
    <w:lvl w:ilvl="0" w:tplc="760C0546">
      <w:start w:val="1"/>
      <w:numFmt w:val="bullet"/>
      <w:lvlText w:val=""/>
      <w:lvlJc w:val="left"/>
      <w:pPr>
        <w:ind w:left="1080" w:hanging="360"/>
      </w:pPr>
      <w:rPr>
        <w:rFonts w:ascii="Symbol" w:hAnsi="Symbol"/>
      </w:rPr>
    </w:lvl>
    <w:lvl w:ilvl="1" w:tplc="CBB46AE8">
      <w:start w:val="1"/>
      <w:numFmt w:val="bullet"/>
      <w:lvlText w:val=""/>
      <w:lvlJc w:val="left"/>
      <w:pPr>
        <w:ind w:left="1080" w:hanging="360"/>
      </w:pPr>
      <w:rPr>
        <w:rFonts w:ascii="Symbol" w:hAnsi="Symbol"/>
      </w:rPr>
    </w:lvl>
    <w:lvl w:ilvl="2" w:tplc="D26E7252">
      <w:start w:val="1"/>
      <w:numFmt w:val="bullet"/>
      <w:lvlText w:val=""/>
      <w:lvlJc w:val="left"/>
      <w:pPr>
        <w:ind w:left="1080" w:hanging="360"/>
      </w:pPr>
      <w:rPr>
        <w:rFonts w:ascii="Symbol" w:hAnsi="Symbol"/>
      </w:rPr>
    </w:lvl>
    <w:lvl w:ilvl="3" w:tplc="50B24218">
      <w:start w:val="1"/>
      <w:numFmt w:val="bullet"/>
      <w:lvlText w:val=""/>
      <w:lvlJc w:val="left"/>
      <w:pPr>
        <w:ind w:left="1080" w:hanging="360"/>
      </w:pPr>
      <w:rPr>
        <w:rFonts w:ascii="Symbol" w:hAnsi="Symbol"/>
      </w:rPr>
    </w:lvl>
    <w:lvl w:ilvl="4" w:tplc="FEF81A4A">
      <w:start w:val="1"/>
      <w:numFmt w:val="bullet"/>
      <w:lvlText w:val=""/>
      <w:lvlJc w:val="left"/>
      <w:pPr>
        <w:ind w:left="1080" w:hanging="360"/>
      </w:pPr>
      <w:rPr>
        <w:rFonts w:ascii="Symbol" w:hAnsi="Symbol"/>
      </w:rPr>
    </w:lvl>
    <w:lvl w:ilvl="5" w:tplc="C8C60E94">
      <w:start w:val="1"/>
      <w:numFmt w:val="bullet"/>
      <w:lvlText w:val=""/>
      <w:lvlJc w:val="left"/>
      <w:pPr>
        <w:ind w:left="1080" w:hanging="360"/>
      </w:pPr>
      <w:rPr>
        <w:rFonts w:ascii="Symbol" w:hAnsi="Symbol"/>
      </w:rPr>
    </w:lvl>
    <w:lvl w:ilvl="6" w:tplc="9D1474C6">
      <w:start w:val="1"/>
      <w:numFmt w:val="bullet"/>
      <w:lvlText w:val=""/>
      <w:lvlJc w:val="left"/>
      <w:pPr>
        <w:ind w:left="1080" w:hanging="360"/>
      </w:pPr>
      <w:rPr>
        <w:rFonts w:ascii="Symbol" w:hAnsi="Symbol"/>
      </w:rPr>
    </w:lvl>
    <w:lvl w:ilvl="7" w:tplc="3260F584">
      <w:start w:val="1"/>
      <w:numFmt w:val="bullet"/>
      <w:lvlText w:val=""/>
      <w:lvlJc w:val="left"/>
      <w:pPr>
        <w:ind w:left="1080" w:hanging="360"/>
      </w:pPr>
      <w:rPr>
        <w:rFonts w:ascii="Symbol" w:hAnsi="Symbol"/>
      </w:rPr>
    </w:lvl>
    <w:lvl w:ilvl="8" w:tplc="83803890">
      <w:start w:val="1"/>
      <w:numFmt w:val="bullet"/>
      <w:lvlText w:val=""/>
      <w:lvlJc w:val="left"/>
      <w:pPr>
        <w:ind w:left="1080" w:hanging="360"/>
      </w:pPr>
      <w:rPr>
        <w:rFonts w:ascii="Symbol" w:hAnsi="Symbol"/>
      </w:rPr>
    </w:lvl>
  </w:abstractNum>
  <w:abstractNum w:abstractNumId="1" w15:restartNumberingAfterBreak="0">
    <w:nsid w:val="7BD311F9"/>
    <w:multiLevelType w:val="hybridMultilevel"/>
    <w:tmpl w:val="7FD47F72"/>
    <w:lvl w:ilvl="0" w:tplc="B0009E2A">
      <w:start w:val="1"/>
      <w:numFmt w:val="bullet"/>
      <w:lvlText w:val=""/>
      <w:lvlJc w:val="left"/>
      <w:pPr>
        <w:ind w:left="1080" w:hanging="360"/>
      </w:pPr>
      <w:rPr>
        <w:rFonts w:ascii="Symbol" w:hAnsi="Symbol"/>
      </w:rPr>
    </w:lvl>
    <w:lvl w:ilvl="1" w:tplc="16DC7E5A">
      <w:start w:val="1"/>
      <w:numFmt w:val="bullet"/>
      <w:lvlText w:val=""/>
      <w:lvlJc w:val="left"/>
      <w:pPr>
        <w:ind w:left="1080" w:hanging="360"/>
      </w:pPr>
      <w:rPr>
        <w:rFonts w:ascii="Symbol" w:hAnsi="Symbol"/>
      </w:rPr>
    </w:lvl>
    <w:lvl w:ilvl="2" w:tplc="E8BE3E8A">
      <w:start w:val="1"/>
      <w:numFmt w:val="bullet"/>
      <w:lvlText w:val=""/>
      <w:lvlJc w:val="left"/>
      <w:pPr>
        <w:ind w:left="1080" w:hanging="360"/>
      </w:pPr>
      <w:rPr>
        <w:rFonts w:ascii="Symbol" w:hAnsi="Symbol"/>
      </w:rPr>
    </w:lvl>
    <w:lvl w:ilvl="3" w:tplc="A16C3C60">
      <w:start w:val="1"/>
      <w:numFmt w:val="bullet"/>
      <w:lvlText w:val=""/>
      <w:lvlJc w:val="left"/>
      <w:pPr>
        <w:ind w:left="1080" w:hanging="360"/>
      </w:pPr>
      <w:rPr>
        <w:rFonts w:ascii="Symbol" w:hAnsi="Symbol"/>
      </w:rPr>
    </w:lvl>
    <w:lvl w:ilvl="4" w:tplc="BDB096F8">
      <w:start w:val="1"/>
      <w:numFmt w:val="bullet"/>
      <w:lvlText w:val=""/>
      <w:lvlJc w:val="left"/>
      <w:pPr>
        <w:ind w:left="1080" w:hanging="360"/>
      </w:pPr>
      <w:rPr>
        <w:rFonts w:ascii="Symbol" w:hAnsi="Symbol"/>
      </w:rPr>
    </w:lvl>
    <w:lvl w:ilvl="5" w:tplc="14822A2A">
      <w:start w:val="1"/>
      <w:numFmt w:val="bullet"/>
      <w:lvlText w:val=""/>
      <w:lvlJc w:val="left"/>
      <w:pPr>
        <w:ind w:left="1080" w:hanging="360"/>
      </w:pPr>
      <w:rPr>
        <w:rFonts w:ascii="Symbol" w:hAnsi="Symbol"/>
      </w:rPr>
    </w:lvl>
    <w:lvl w:ilvl="6" w:tplc="011A9A7E">
      <w:start w:val="1"/>
      <w:numFmt w:val="bullet"/>
      <w:lvlText w:val=""/>
      <w:lvlJc w:val="left"/>
      <w:pPr>
        <w:ind w:left="1080" w:hanging="360"/>
      </w:pPr>
      <w:rPr>
        <w:rFonts w:ascii="Symbol" w:hAnsi="Symbol"/>
      </w:rPr>
    </w:lvl>
    <w:lvl w:ilvl="7" w:tplc="81681064">
      <w:start w:val="1"/>
      <w:numFmt w:val="bullet"/>
      <w:lvlText w:val=""/>
      <w:lvlJc w:val="left"/>
      <w:pPr>
        <w:ind w:left="1080" w:hanging="360"/>
      </w:pPr>
      <w:rPr>
        <w:rFonts w:ascii="Symbol" w:hAnsi="Symbol"/>
      </w:rPr>
    </w:lvl>
    <w:lvl w:ilvl="8" w:tplc="3086D6B2">
      <w:start w:val="1"/>
      <w:numFmt w:val="bullet"/>
      <w:lvlText w:val=""/>
      <w:lvlJc w:val="left"/>
      <w:pPr>
        <w:ind w:left="1080" w:hanging="360"/>
      </w:pPr>
      <w:rPr>
        <w:rFonts w:ascii="Symbol" w:hAnsi="Symbol"/>
      </w:rPr>
    </w:lvl>
  </w:abstractNum>
  <w:num w:numId="1" w16cid:durableId="477193083">
    <w:abstractNumId w:val="1"/>
  </w:num>
  <w:num w:numId="2" w16cid:durableId="123673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D67"/>
    <w:rsid w:val="00000A9B"/>
    <w:rsid w:val="0000590B"/>
    <w:rsid w:val="00005C1F"/>
    <w:rsid w:val="00006EF5"/>
    <w:rsid w:val="000126B8"/>
    <w:rsid w:val="0001272B"/>
    <w:rsid w:val="00015190"/>
    <w:rsid w:val="00020151"/>
    <w:rsid w:val="000227B2"/>
    <w:rsid w:val="00023548"/>
    <w:rsid w:val="00023F77"/>
    <w:rsid w:val="00027A2F"/>
    <w:rsid w:val="00027ABF"/>
    <w:rsid w:val="00035BE1"/>
    <w:rsid w:val="00037AC0"/>
    <w:rsid w:val="00037FF8"/>
    <w:rsid w:val="00041390"/>
    <w:rsid w:val="00041E89"/>
    <w:rsid w:val="00042FF4"/>
    <w:rsid w:val="000459A6"/>
    <w:rsid w:val="00046027"/>
    <w:rsid w:val="00052655"/>
    <w:rsid w:val="0005520C"/>
    <w:rsid w:val="00056678"/>
    <w:rsid w:val="00060675"/>
    <w:rsid w:val="00062786"/>
    <w:rsid w:val="00063A9A"/>
    <w:rsid w:val="000660FC"/>
    <w:rsid w:val="000669CF"/>
    <w:rsid w:val="00071063"/>
    <w:rsid w:val="000806A4"/>
    <w:rsid w:val="00082644"/>
    <w:rsid w:val="00082855"/>
    <w:rsid w:val="00086262"/>
    <w:rsid w:val="00087B3E"/>
    <w:rsid w:val="000959CE"/>
    <w:rsid w:val="00096094"/>
    <w:rsid w:val="000960B0"/>
    <w:rsid w:val="00097C70"/>
    <w:rsid w:val="000A2200"/>
    <w:rsid w:val="000A6BB7"/>
    <w:rsid w:val="000A6E08"/>
    <w:rsid w:val="000B1A6C"/>
    <w:rsid w:val="000B432F"/>
    <w:rsid w:val="000B464F"/>
    <w:rsid w:val="000B5755"/>
    <w:rsid w:val="000C0468"/>
    <w:rsid w:val="000C1E24"/>
    <w:rsid w:val="000C2C87"/>
    <w:rsid w:val="000D05D2"/>
    <w:rsid w:val="000D0DCF"/>
    <w:rsid w:val="000D18AF"/>
    <w:rsid w:val="000D2154"/>
    <w:rsid w:val="000D389E"/>
    <w:rsid w:val="000D6AA5"/>
    <w:rsid w:val="000E0A61"/>
    <w:rsid w:val="000E23C6"/>
    <w:rsid w:val="000E2AE2"/>
    <w:rsid w:val="000E30B1"/>
    <w:rsid w:val="000F2F5D"/>
    <w:rsid w:val="000F3963"/>
    <w:rsid w:val="000F42BA"/>
    <w:rsid w:val="000F454F"/>
    <w:rsid w:val="000F705B"/>
    <w:rsid w:val="0010163A"/>
    <w:rsid w:val="0010243E"/>
    <w:rsid w:val="00102701"/>
    <w:rsid w:val="00102770"/>
    <w:rsid w:val="0010657E"/>
    <w:rsid w:val="001068F0"/>
    <w:rsid w:val="00111E77"/>
    <w:rsid w:val="0011255A"/>
    <w:rsid w:val="00116337"/>
    <w:rsid w:val="0012051E"/>
    <w:rsid w:val="0012205A"/>
    <w:rsid w:val="001310F3"/>
    <w:rsid w:val="00133946"/>
    <w:rsid w:val="001355AC"/>
    <w:rsid w:val="00136E97"/>
    <w:rsid w:val="001410D1"/>
    <w:rsid w:val="00142B36"/>
    <w:rsid w:val="00146379"/>
    <w:rsid w:val="00151244"/>
    <w:rsid w:val="00161E2E"/>
    <w:rsid w:val="00162145"/>
    <w:rsid w:val="00163D88"/>
    <w:rsid w:val="00165597"/>
    <w:rsid w:val="0016621D"/>
    <w:rsid w:val="00166255"/>
    <w:rsid w:val="00166EF9"/>
    <w:rsid w:val="0016770C"/>
    <w:rsid w:val="0017072D"/>
    <w:rsid w:val="001738C2"/>
    <w:rsid w:val="00176301"/>
    <w:rsid w:val="00176EC4"/>
    <w:rsid w:val="00176FC6"/>
    <w:rsid w:val="00185124"/>
    <w:rsid w:val="0018616D"/>
    <w:rsid w:val="001864F3"/>
    <w:rsid w:val="0019141C"/>
    <w:rsid w:val="00191E2B"/>
    <w:rsid w:val="00192D0B"/>
    <w:rsid w:val="0019731F"/>
    <w:rsid w:val="001A014A"/>
    <w:rsid w:val="001A1A81"/>
    <w:rsid w:val="001A5D5E"/>
    <w:rsid w:val="001C2F52"/>
    <w:rsid w:val="001C73AE"/>
    <w:rsid w:val="001C752E"/>
    <w:rsid w:val="001D20B6"/>
    <w:rsid w:val="001D31C6"/>
    <w:rsid w:val="001D5954"/>
    <w:rsid w:val="001D7447"/>
    <w:rsid w:val="001D7BD2"/>
    <w:rsid w:val="001E0478"/>
    <w:rsid w:val="001E07A7"/>
    <w:rsid w:val="001E2107"/>
    <w:rsid w:val="001E3A74"/>
    <w:rsid w:val="001E5D4B"/>
    <w:rsid w:val="001E631D"/>
    <w:rsid w:val="001E6461"/>
    <w:rsid w:val="001F0B1B"/>
    <w:rsid w:val="001F1BDB"/>
    <w:rsid w:val="001F5037"/>
    <w:rsid w:val="001F7E9C"/>
    <w:rsid w:val="00201F44"/>
    <w:rsid w:val="0020351F"/>
    <w:rsid w:val="002051B0"/>
    <w:rsid w:val="00207674"/>
    <w:rsid w:val="0021332F"/>
    <w:rsid w:val="00213FA3"/>
    <w:rsid w:val="00214B2B"/>
    <w:rsid w:val="00221214"/>
    <w:rsid w:val="002260F5"/>
    <w:rsid w:val="00236E89"/>
    <w:rsid w:val="002370C6"/>
    <w:rsid w:val="00241E86"/>
    <w:rsid w:val="00243DA7"/>
    <w:rsid w:val="002505A1"/>
    <w:rsid w:val="00255BE6"/>
    <w:rsid w:val="00257C15"/>
    <w:rsid w:val="00270979"/>
    <w:rsid w:val="0027189B"/>
    <w:rsid w:val="00274F99"/>
    <w:rsid w:val="00276EF2"/>
    <w:rsid w:val="00281C10"/>
    <w:rsid w:val="00284B1E"/>
    <w:rsid w:val="00291013"/>
    <w:rsid w:val="0029508D"/>
    <w:rsid w:val="002A18E1"/>
    <w:rsid w:val="002A6067"/>
    <w:rsid w:val="002B4BBC"/>
    <w:rsid w:val="002B57FF"/>
    <w:rsid w:val="002B67B7"/>
    <w:rsid w:val="002C0E04"/>
    <w:rsid w:val="002C1DBC"/>
    <w:rsid w:val="002C2285"/>
    <w:rsid w:val="002C22C9"/>
    <w:rsid w:val="002C72B4"/>
    <w:rsid w:val="002D21CA"/>
    <w:rsid w:val="002D3915"/>
    <w:rsid w:val="002D4375"/>
    <w:rsid w:val="002D58E1"/>
    <w:rsid w:val="002E333F"/>
    <w:rsid w:val="002F0B0E"/>
    <w:rsid w:val="002F11B9"/>
    <w:rsid w:val="002F1319"/>
    <w:rsid w:val="002F3441"/>
    <w:rsid w:val="002F3658"/>
    <w:rsid w:val="002F451E"/>
    <w:rsid w:val="002F4A08"/>
    <w:rsid w:val="002F5D9F"/>
    <w:rsid w:val="002F6CFA"/>
    <w:rsid w:val="0030485F"/>
    <w:rsid w:val="0030489E"/>
    <w:rsid w:val="003048E8"/>
    <w:rsid w:val="00310BB7"/>
    <w:rsid w:val="003162DC"/>
    <w:rsid w:val="00316FEB"/>
    <w:rsid w:val="003206A4"/>
    <w:rsid w:val="00320BF8"/>
    <w:rsid w:val="00323466"/>
    <w:rsid w:val="00335034"/>
    <w:rsid w:val="00335769"/>
    <w:rsid w:val="00336CE5"/>
    <w:rsid w:val="00344AB9"/>
    <w:rsid w:val="00344DF5"/>
    <w:rsid w:val="0035226F"/>
    <w:rsid w:val="0035645E"/>
    <w:rsid w:val="0035761B"/>
    <w:rsid w:val="003600FD"/>
    <w:rsid w:val="003622DE"/>
    <w:rsid w:val="003633AF"/>
    <w:rsid w:val="00365B3E"/>
    <w:rsid w:val="00374DA6"/>
    <w:rsid w:val="00380C99"/>
    <w:rsid w:val="0038225D"/>
    <w:rsid w:val="00392252"/>
    <w:rsid w:val="00392499"/>
    <w:rsid w:val="0039251F"/>
    <w:rsid w:val="003A02D1"/>
    <w:rsid w:val="003A2B11"/>
    <w:rsid w:val="003A48F8"/>
    <w:rsid w:val="003A498D"/>
    <w:rsid w:val="003B2072"/>
    <w:rsid w:val="003B2353"/>
    <w:rsid w:val="003B31A1"/>
    <w:rsid w:val="003B706A"/>
    <w:rsid w:val="003C3695"/>
    <w:rsid w:val="003D1752"/>
    <w:rsid w:val="003D1D58"/>
    <w:rsid w:val="003E1188"/>
    <w:rsid w:val="003E60B3"/>
    <w:rsid w:val="003E6459"/>
    <w:rsid w:val="003E6809"/>
    <w:rsid w:val="003F4D09"/>
    <w:rsid w:val="0040326B"/>
    <w:rsid w:val="0040390E"/>
    <w:rsid w:val="00405424"/>
    <w:rsid w:val="00406627"/>
    <w:rsid w:val="00410352"/>
    <w:rsid w:val="00411C8D"/>
    <w:rsid w:val="00411CE8"/>
    <w:rsid w:val="0041406F"/>
    <w:rsid w:val="0041461A"/>
    <w:rsid w:val="00415811"/>
    <w:rsid w:val="00417125"/>
    <w:rsid w:val="0041731D"/>
    <w:rsid w:val="0042069A"/>
    <w:rsid w:val="0042078A"/>
    <w:rsid w:val="00422366"/>
    <w:rsid w:val="004236C8"/>
    <w:rsid w:val="00424B51"/>
    <w:rsid w:val="0042559B"/>
    <w:rsid w:val="0042655E"/>
    <w:rsid w:val="00430675"/>
    <w:rsid w:val="00431831"/>
    <w:rsid w:val="0043212D"/>
    <w:rsid w:val="00432D47"/>
    <w:rsid w:val="00440548"/>
    <w:rsid w:val="00452364"/>
    <w:rsid w:val="00455381"/>
    <w:rsid w:val="00457B5C"/>
    <w:rsid w:val="0046192C"/>
    <w:rsid w:val="00462228"/>
    <w:rsid w:val="0046237C"/>
    <w:rsid w:val="00464DAF"/>
    <w:rsid w:val="004673DC"/>
    <w:rsid w:val="004725F7"/>
    <w:rsid w:val="004844B0"/>
    <w:rsid w:val="00484D4B"/>
    <w:rsid w:val="00491111"/>
    <w:rsid w:val="0049415A"/>
    <w:rsid w:val="00494410"/>
    <w:rsid w:val="004944C9"/>
    <w:rsid w:val="004A195E"/>
    <w:rsid w:val="004A2523"/>
    <w:rsid w:val="004A2598"/>
    <w:rsid w:val="004A492C"/>
    <w:rsid w:val="004A596E"/>
    <w:rsid w:val="004B3DB5"/>
    <w:rsid w:val="004B6421"/>
    <w:rsid w:val="004B6827"/>
    <w:rsid w:val="004C263B"/>
    <w:rsid w:val="004C28D7"/>
    <w:rsid w:val="004D23B3"/>
    <w:rsid w:val="004D3C46"/>
    <w:rsid w:val="004E031B"/>
    <w:rsid w:val="004E2D25"/>
    <w:rsid w:val="004E5746"/>
    <w:rsid w:val="004E5C6E"/>
    <w:rsid w:val="004E6015"/>
    <w:rsid w:val="004E6847"/>
    <w:rsid w:val="004E716A"/>
    <w:rsid w:val="004F06E3"/>
    <w:rsid w:val="004F0C74"/>
    <w:rsid w:val="004F1CF8"/>
    <w:rsid w:val="004F559F"/>
    <w:rsid w:val="004F6C33"/>
    <w:rsid w:val="004F75BB"/>
    <w:rsid w:val="005022E0"/>
    <w:rsid w:val="00503769"/>
    <w:rsid w:val="005049F2"/>
    <w:rsid w:val="005079A7"/>
    <w:rsid w:val="00510EA9"/>
    <w:rsid w:val="00512941"/>
    <w:rsid w:val="00512BF3"/>
    <w:rsid w:val="005168DA"/>
    <w:rsid w:val="00516AEA"/>
    <w:rsid w:val="0052782D"/>
    <w:rsid w:val="00530555"/>
    <w:rsid w:val="00531CE1"/>
    <w:rsid w:val="0053562C"/>
    <w:rsid w:val="005357AA"/>
    <w:rsid w:val="00536F3B"/>
    <w:rsid w:val="005427AE"/>
    <w:rsid w:val="00545746"/>
    <w:rsid w:val="00553C95"/>
    <w:rsid w:val="0055579B"/>
    <w:rsid w:val="005638AB"/>
    <w:rsid w:val="00570630"/>
    <w:rsid w:val="00571008"/>
    <w:rsid w:val="005730A6"/>
    <w:rsid w:val="00573D67"/>
    <w:rsid w:val="00576667"/>
    <w:rsid w:val="005808C0"/>
    <w:rsid w:val="00581B16"/>
    <w:rsid w:val="005821BB"/>
    <w:rsid w:val="00582330"/>
    <w:rsid w:val="00587EC6"/>
    <w:rsid w:val="005918FF"/>
    <w:rsid w:val="00593839"/>
    <w:rsid w:val="005946D4"/>
    <w:rsid w:val="0059782A"/>
    <w:rsid w:val="005A07EB"/>
    <w:rsid w:val="005A6A21"/>
    <w:rsid w:val="005B3D1B"/>
    <w:rsid w:val="005B42D0"/>
    <w:rsid w:val="005B4B27"/>
    <w:rsid w:val="005C079C"/>
    <w:rsid w:val="005C0A17"/>
    <w:rsid w:val="005C2BA9"/>
    <w:rsid w:val="005C3B69"/>
    <w:rsid w:val="005D0337"/>
    <w:rsid w:val="005D126A"/>
    <w:rsid w:val="005D16F6"/>
    <w:rsid w:val="005D394A"/>
    <w:rsid w:val="005D5B08"/>
    <w:rsid w:val="005D7287"/>
    <w:rsid w:val="005E62B6"/>
    <w:rsid w:val="005E7236"/>
    <w:rsid w:val="005F327C"/>
    <w:rsid w:val="005F33B1"/>
    <w:rsid w:val="005F37B5"/>
    <w:rsid w:val="005F3F54"/>
    <w:rsid w:val="005F50C0"/>
    <w:rsid w:val="00600EFA"/>
    <w:rsid w:val="00605295"/>
    <w:rsid w:val="0060574F"/>
    <w:rsid w:val="00606CFD"/>
    <w:rsid w:val="00613022"/>
    <w:rsid w:val="0061318A"/>
    <w:rsid w:val="006135B9"/>
    <w:rsid w:val="006148E5"/>
    <w:rsid w:val="00625E52"/>
    <w:rsid w:val="0063280A"/>
    <w:rsid w:val="00632960"/>
    <w:rsid w:val="00635F27"/>
    <w:rsid w:val="006413F1"/>
    <w:rsid w:val="0064159D"/>
    <w:rsid w:val="00641AEF"/>
    <w:rsid w:val="00642365"/>
    <w:rsid w:val="0064530D"/>
    <w:rsid w:val="0065342C"/>
    <w:rsid w:val="00655FB5"/>
    <w:rsid w:val="00656700"/>
    <w:rsid w:val="006624F1"/>
    <w:rsid w:val="0067154A"/>
    <w:rsid w:val="00672C41"/>
    <w:rsid w:val="00677D52"/>
    <w:rsid w:val="006836B1"/>
    <w:rsid w:val="006871E7"/>
    <w:rsid w:val="00693224"/>
    <w:rsid w:val="0069525B"/>
    <w:rsid w:val="00695F05"/>
    <w:rsid w:val="00697164"/>
    <w:rsid w:val="00697983"/>
    <w:rsid w:val="00697BE5"/>
    <w:rsid w:val="006A10FD"/>
    <w:rsid w:val="006A151A"/>
    <w:rsid w:val="006A3A76"/>
    <w:rsid w:val="006A5A9F"/>
    <w:rsid w:val="006A6C5B"/>
    <w:rsid w:val="006A73CF"/>
    <w:rsid w:val="006B19D8"/>
    <w:rsid w:val="006B433A"/>
    <w:rsid w:val="006B6458"/>
    <w:rsid w:val="006B6F4D"/>
    <w:rsid w:val="006B78B1"/>
    <w:rsid w:val="006C111B"/>
    <w:rsid w:val="006C1579"/>
    <w:rsid w:val="006C30E4"/>
    <w:rsid w:val="006C4480"/>
    <w:rsid w:val="006D6A64"/>
    <w:rsid w:val="006D7ED5"/>
    <w:rsid w:val="006E3AF6"/>
    <w:rsid w:val="006E61EA"/>
    <w:rsid w:val="006F0E38"/>
    <w:rsid w:val="006F34C0"/>
    <w:rsid w:val="006F5253"/>
    <w:rsid w:val="006F573B"/>
    <w:rsid w:val="006F7DB2"/>
    <w:rsid w:val="00701750"/>
    <w:rsid w:val="00704148"/>
    <w:rsid w:val="00704BDF"/>
    <w:rsid w:val="00707F47"/>
    <w:rsid w:val="007136B9"/>
    <w:rsid w:val="00717C73"/>
    <w:rsid w:val="007208A2"/>
    <w:rsid w:val="00723E76"/>
    <w:rsid w:val="00723EE1"/>
    <w:rsid w:val="00723F55"/>
    <w:rsid w:val="0072533F"/>
    <w:rsid w:val="00730184"/>
    <w:rsid w:val="00731A66"/>
    <w:rsid w:val="00733C7E"/>
    <w:rsid w:val="007406A6"/>
    <w:rsid w:val="00742A6F"/>
    <w:rsid w:val="00743359"/>
    <w:rsid w:val="007523AE"/>
    <w:rsid w:val="00755617"/>
    <w:rsid w:val="007623F2"/>
    <w:rsid w:val="007633AF"/>
    <w:rsid w:val="00765A2C"/>
    <w:rsid w:val="00771E5A"/>
    <w:rsid w:val="0077721A"/>
    <w:rsid w:val="007774E1"/>
    <w:rsid w:val="00777D97"/>
    <w:rsid w:val="00782DC5"/>
    <w:rsid w:val="00790018"/>
    <w:rsid w:val="007A6DF1"/>
    <w:rsid w:val="007B017B"/>
    <w:rsid w:val="007B2CEF"/>
    <w:rsid w:val="007B5408"/>
    <w:rsid w:val="007B6D24"/>
    <w:rsid w:val="007C1854"/>
    <w:rsid w:val="007C1CA8"/>
    <w:rsid w:val="007C22C4"/>
    <w:rsid w:val="007C23DA"/>
    <w:rsid w:val="007C3C26"/>
    <w:rsid w:val="007D333B"/>
    <w:rsid w:val="007D36F7"/>
    <w:rsid w:val="007D54E8"/>
    <w:rsid w:val="007E2891"/>
    <w:rsid w:val="007E2FA8"/>
    <w:rsid w:val="007E3582"/>
    <w:rsid w:val="007E39FE"/>
    <w:rsid w:val="007E4796"/>
    <w:rsid w:val="007E7401"/>
    <w:rsid w:val="00800A0E"/>
    <w:rsid w:val="00800F69"/>
    <w:rsid w:val="008067B9"/>
    <w:rsid w:val="00807E75"/>
    <w:rsid w:val="00810D11"/>
    <w:rsid w:val="00811E72"/>
    <w:rsid w:val="008164BA"/>
    <w:rsid w:val="0081784D"/>
    <w:rsid w:val="0082249A"/>
    <w:rsid w:val="00824B93"/>
    <w:rsid w:val="00824C9F"/>
    <w:rsid w:val="008301B1"/>
    <w:rsid w:val="00842153"/>
    <w:rsid w:val="008457B1"/>
    <w:rsid w:val="00851287"/>
    <w:rsid w:val="00852D9A"/>
    <w:rsid w:val="00853075"/>
    <w:rsid w:val="00854189"/>
    <w:rsid w:val="00857459"/>
    <w:rsid w:val="00861AD9"/>
    <w:rsid w:val="008623C5"/>
    <w:rsid w:val="00867328"/>
    <w:rsid w:val="008708BE"/>
    <w:rsid w:val="008725CA"/>
    <w:rsid w:val="00874708"/>
    <w:rsid w:val="008750B7"/>
    <w:rsid w:val="00875518"/>
    <w:rsid w:val="00875A70"/>
    <w:rsid w:val="008773B8"/>
    <w:rsid w:val="00877C4B"/>
    <w:rsid w:val="00882B69"/>
    <w:rsid w:val="0088406D"/>
    <w:rsid w:val="00886CE7"/>
    <w:rsid w:val="008871F4"/>
    <w:rsid w:val="0089295C"/>
    <w:rsid w:val="0089614A"/>
    <w:rsid w:val="008A2731"/>
    <w:rsid w:val="008A464B"/>
    <w:rsid w:val="008A6DD1"/>
    <w:rsid w:val="008B0CCF"/>
    <w:rsid w:val="008B142E"/>
    <w:rsid w:val="008B3B57"/>
    <w:rsid w:val="008B49CB"/>
    <w:rsid w:val="008B7497"/>
    <w:rsid w:val="008C3548"/>
    <w:rsid w:val="008D0D0A"/>
    <w:rsid w:val="008D36A9"/>
    <w:rsid w:val="008E19AD"/>
    <w:rsid w:val="008E2E9F"/>
    <w:rsid w:val="00910883"/>
    <w:rsid w:val="009115BF"/>
    <w:rsid w:val="009125BF"/>
    <w:rsid w:val="009134ED"/>
    <w:rsid w:val="00913978"/>
    <w:rsid w:val="009147AE"/>
    <w:rsid w:val="0091690C"/>
    <w:rsid w:val="00921231"/>
    <w:rsid w:val="00921B7B"/>
    <w:rsid w:val="009268D8"/>
    <w:rsid w:val="00932E60"/>
    <w:rsid w:val="00937BE6"/>
    <w:rsid w:val="0094055D"/>
    <w:rsid w:val="00943268"/>
    <w:rsid w:val="009464C3"/>
    <w:rsid w:val="00952801"/>
    <w:rsid w:val="009529FD"/>
    <w:rsid w:val="00954228"/>
    <w:rsid w:val="00954BEE"/>
    <w:rsid w:val="00955A3E"/>
    <w:rsid w:val="00956A56"/>
    <w:rsid w:val="00956DAC"/>
    <w:rsid w:val="00957EC3"/>
    <w:rsid w:val="00967913"/>
    <w:rsid w:val="00971A8A"/>
    <w:rsid w:val="00982806"/>
    <w:rsid w:val="00986A1A"/>
    <w:rsid w:val="00992300"/>
    <w:rsid w:val="0099607E"/>
    <w:rsid w:val="009971F6"/>
    <w:rsid w:val="009A03FF"/>
    <w:rsid w:val="009A26FD"/>
    <w:rsid w:val="009B1730"/>
    <w:rsid w:val="009C6AD3"/>
    <w:rsid w:val="009D4707"/>
    <w:rsid w:val="009D4E4D"/>
    <w:rsid w:val="009D6110"/>
    <w:rsid w:val="009D6625"/>
    <w:rsid w:val="009D779B"/>
    <w:rsid w:val="009E3F12"/>
    <w:rsid w:val="009E41D2"/>
    <w:rsid w:val="009E663A"/>
    <w:rsid w:val="009F6BCD"/>
    <w:rsid w:val="009F78EC"/>
    <w:rsid w:val="00A01DB9"/>
    <w:rsid w:val="00A05759"/>
    <w:rsid w:val="00A11238"/>
    <w:rsid w:val="00A11A91"/>
    <w:rsid w:val="00A13E82"/>
    <w:rsid w:val="00A16C4D"/>
    <w:rsid w:val="00A1799C"/>
    <w:rsid w:val="00A22C85"/>
    <w:rsid w:val="00A2497F"/>
    <w:rsid w:val="00A25D63"/>
    <w:rsid w:val="00A276C2"/>
    <w:rsid w:val="00A309C1"/>
    <w:rsid w:val="00A309C7"/>
    <w:rsid w:val="00A31B84"/>
    <w:rsid w:val="00A323AE"/>
    <w:rsid w:val="00A407BD"/>
    <w:rsid w:val="00A4378B"/>
    <w:rsid w:val="00A44866"/>
    <w:rsid w:val="00A45AF9"/>
    <w:rsid w:val="00A45B05"/>
    <w:rsid w:val="00A50A73"/>
    <w:rsid w:val="00A566B9"/>
    <w:rsid w:val="00A56AD1"/>
    <w:rsid w:val="00A62A37"/>
    <w:rsid w:val="00A6358B"/>
    <w:rsid w:val="00A6427D"/>
    <w:rsid w:val="00A735EA"/>
    <w:rsid w:val="00A80287"/>
    <w:rsid w:val="00A858DB"/>
    <w:rsid w:val="00A875CC"/>
    <w:rsid w:val="00A97121"/>
    <w:rsid w:val="00A972A9"/>
    <w:rsid w:val="00AA1043"/>
    <w:rsid w:val="00AA3724"/>
    <w:rsid w:val="00AA59A2"/>
    <w:rsid w:val="00AA7131"/>
    <w:rsid w:val="00AB1B24"/>
    <w:rsid w:val="00AB32F0"/>
    <w:rsid w:val="00AB3EF2"/>
    <w:rsid w:val="00AB6490"/>
    <w:rsid w:val="00AB7AEE"/>
    <w:rsid w:val="00AC1D05"/>
    <w:rsid w:val="00AC4CD9"/>
    <w:rsid w:val="00AC5E4E"/>
    <w:rsid w:val="00AD1C56"/>
    <w:rsid w:val="00AD4C37"/>
    <w:rsid w:val="00AD58FC"/>
    <w:rsid w:val="00AD62A9"/>
    <w:rsid w:val="00AE79EE"/>
    <w:rsid w:val="00AF2C7B"/>
    <w:rsid w:val="00AF4DB9"/>
    <w:rsid w:val="00AF4EE7"/>
    <w:rsid w:val="00AF74D9"/>
    <w:rsid w:val="00AF7581"/>
    <w:rsid w:val="00B050F1"/>
    <w:rsid w:val="00B07C80"/>
    <w:rsid w:val="00B121D8"/>
    <w:rsid w:val="00B1350E"/>
    <w:rsid w:val="00B16C74"/>
    <w:rsid w:val="00B17C36"/>
    <w:rsid w:val="00B22D33"/>
    <w:rsid w:val="00B23FCC"/>
    <w:rsid w:val="00B345A7"/>
    <w:rsid w:val="00B3762D"/>
    <w:rsid w:val="00B42589"/>
    <w:rsid w:val="00B45000"/>
    <w:rsid w:val="00B4654F"/>
    <w:rsid w:val="00B53EED"/>
    <w:rsid w:val="00B60098"/>
    <w:rsid w:val="00B60CDF"/>
    <w:rsid w:val="00B627B1"/>
    <w:rsid w:val="00B63B52"/>
    <w:rsid w:val="00B762C2"/>
    <w:rsid w:val="00B77D5D"/>
    <w:rsid w:val="00B80EEA"/>
    <w:rsid w:val="00B8524F"/>
    <w:rsid w:val="00B91D96"/>
    <w:rsid w:val="00B93437"/>
    <w:rsid w:val="00B937E4"/>
    <w:rsid w:val="00BA27F0"/>
    <w:rsid w:val="00BA33E4"/>
    <w:rsid w:val="00BA3C49"/>
    <w:rsid w:val="00BA6E2C"/>
    <w:rsid w:val="00BA737D"/>
    <w:rsid w:val="00BA7959"/>
    <w:rsid w:val="00BB20B2"/>
    <w:rsid w:val="00BB5B42"/>
    <w:rsid w:val="00BB78C3"/>
    <w:rsid w:val="00BC5E47"/>
    <w:rsid w:val="00BC67E2"/>
    <w:rsid w:val="00BC7798"/>
    <w:rsid w:val="00BD14A7"/>
    <w:rsid w:val="00BD59FB"/>
    <w:rsid w:val="00BD68FF"/>
    <w:rsid w:val="00BE570B"/>
    <w:rsid w:val="00BE595C"/>
    <w:rsid w:val="00BE7FDE"/>
    <w:rsid w:val="00BF2469"/>
    <w:rsid w:val="00BF572D"/>
    <w:rsid w:val="00C00D84"/>
    <w:rsid w:val="00C02351"/>
    <w:rsid w:val="00C025C4"/>
    <w:rsid w:val="00C029EC"/>
    <w:rsid w:val="00C02FB1"/>
    <w:rsid w:val="00C04358"/>
    <w:rsid w:val="00C05706"/>
    <w:rsid w:val="00C0726F"/>
    <w:rsid w:val="00C1166F"/>
    <w:rsid w:val="00C11676"/>
    <w:rsid w:val="00C11CF5"/>
    <w:rsid w:val="00C15C78"/>
    <w:rsid w:val="00C174D1"/>
    <w:rsid w:val="00C25E8E"/>
    <w:rsid w:val="00C27A50"/>
    <w:rsid w:val="00C369CD"/>
    <w:rsid w:val="00C36C34"/>
    <w:rsid w:val="00C424F0"/>
    <w:rsid w:val="00C43EE7"/>
    <w:rsid w:val="00C44FB0"/>
    <w:rsid w:val="00C450B3"/>
    <w:rsid w:val="00C4639A"/>
    <w:rsid w:val="00C46D57"/>
    <w:rsid w:val="00C46F93"/>
    <w:rsid w:val="00C47D41"/>
    <w:rsid w:val="00C51254"/>
    <w:rsid w:val="00C5169D"/>
    <w:rsid w:val="00C52A5C"/>
    <w:rsid w:val="00C53BF7"/>
    <w:rsid w:val="00C6095B"/>
    <w:rsid w:val="00C60C48"/>
    <w:rsid w:val="00C61B3A"/>
    <w:rsid w:val="00C61BA5"/>
    <w:rsid w:val="00C62F00"/>
    <w:rsid w:val="00C66D74"/>
    <w:rsid w:val="00C675EE"/>
    <w:rsid w:val="00C67A60"/>
    <w:rsid w:val="00C70970"/>
    <w:rsid w:val="00C71D23"/>
    <w:rsid w:val="00C80978"/>
    <w:rsid w:val="00C81475"/>
    <w:rsid w:val="00C87D4D"/>
    <w:rsid w:val="00C93DF7"/>
    <w:rsid w:val="00C97945"/>
    <w:rsid w:val="00CA6408"/>
    <w:rsid w:val="00CB0AC4"/>
    <w:rsid w:val="00CB136E"/>
    <w:rsid w:val="00CB6632"/>
    <w:rsid w:val="00CC3339"/>
    <w:rsid w:val="00CC34F6"/>
    <w:rsid w:val="00CD4070"/>
    <w:rsid w:val="00CD555E"/>
    <w:rsid w:val="00CE018A"/>
    <w:rsid w:val="00CE0AF1"/>
    <w:rsid w:val="00CE2157"/>
    <w:rsid w:val="00CE3056"/>
    <w:rsid w:val="00CE647D"/>
    <w:rsid w:val="00D07283"/>
    <w:rsid w:val="00D216EA"/>
    <w:rsid w:val="00D22A85"/>
    <w:rsid w:val="00D23925"/>
    <w:rsid w:val="00D23965"/>
    <w:rsid w:val="00D3677A"/>
    <w:rsid w:val="00D45CFB"/>
    <w:rsid w:val="00D462DE"/>
    <w:rsid w:val="00D474FF"/>
    <w:rsid w:val="00D4774F"/>
    <w:rsid w:val="00D50296"/>
    <w:rsid w:val="00D503AA"/>
    <w:rsid w:val="00D54975"/>
    <w:rsid w:val="00D646D1"/>
    <w:rsid w:val="00D653DA"/>
    <w:rsid w:val="00D71FBC"/>
    <w:rsid w:val="00D733A6"/>
    <w:rsid w:val="00D77723"/>
    <w:rsid w:val="00D80039"/>
    <w:rsid w:val="00D84FB4"/>
    <w:rsid w:val="00D9033F"/>
    <w:rsid w:val="00D93F0C"/>
    <w:rsid w:val="00D947FE"/>
    <w:rsid w:val="00D94C91"/>
    <w:rsid w:val="00DA2BFD"/>
    <w:rsid w:val="00DA4260"/>
    <w:rsid w:val="00DA4B48"/>
    <w:rsid w:val="00DB0DAD"/>
    <w:rsid w:val="00DB66C9"/>
    <w:rsid w:val="00DB7DF9"/>
    <w:rsid w:val="00DC2A9A"/>
    <w:rsid w:val="00DC3226"/>
    <w:rsid w:val="00DC73B2"/>
    <w:rsid w:val="00DD2CB7"/>
    <w:rsid w:val="00DD4A66"/>
    <w:rsid w:val="00DD762E"/>
    <w:rsid w:val="00DE5551"/>
    <w:rsid w:val="00DE6491"/>
    <w:rsid w:val="00DE64F8"/>
    <w:rsid w:val="00DF36E1"/>
    <w:rsid w:val="00DF690E"/>
    <w:rsid w:val="00DF6972"/>
    <w:rsid w:val="00DF7BB8"/>
    <w:rsid w:val="00E04163"/>
    <w:rsid w:val="00E04281"/>
    <w:rsid w:val="00E072EC"/>
    <w:rsid w:val="00E12967"/>
    <w:rsid w:val="00E13BC2"/>
    <w:rsid w:val="00E17546"/>
    <w:rsid w:val="00E17773"/>
    <w:rsid w:val="00E17CED"/>
    <w:rsid w:val="00E17FA9"/>
    <w:rsid w:val="00E27F07"/>
    <w:rsid w:val="00E37A68"/>
    <w:rsid w:val="00E42250"/>
    <w:rsid w:val="00E439AB"/>
    <w:rsid w:val="00E45809"/>
    <w:rsid w:val="00E45A5D"/>
    <w:rsid w:val="00E4748C"/>
    <w:rsid w:val="00E47EFB"/>
    <w:rsid w:val="00E51364"/>
    <w:rsid w:val="00E54533"/>
    <w:rsid w:val="00E61DA4"/>
    <w:rsid w:val="00E6239B"/>
    <w:rsid w:val="00E6482C"/>
    <w:rsid w:val="00E659C9"/>
    <w:rsid w:val="00E677C3"/>
    <w:rsid w:val="00E70471"/>
    <w:rsid w:val="00E76004"/>
    <w:rsid w:val="00E8019C"/>
    <w:rsid w:val="00E90EFD"/>
    <w:rsid w:val="00EA07D6"/>
    <w:rsid w:val="00EA1562"/>
    <w:rsid w:val="00EA7041"/>
    <w:rsid w:val="00EB4095"/>
    <w:rsid w:val="00EB4799"/>
    <w:rsid w:val="00EB6E00"/>
    <w:rsid w:val="00EC09B4"/>
    <w:rsid w:val="00EC4E64"/>
    <w:rsid w:val="00ED00CE"/>
    <w:rsid w:val="00ED2FB5"/>
    <w:rsid w:val="00ED51C7"/>
    <w:rsid w:val="00EE16E7"/>
    <w:rsid w:val="00EE2724"/>
    <w:rsid w:val="00EE7765"/>
    <w:rsid w:val="00EE7C0D"/>
    <w:rsid w:val="00EF0BF7"/>
    <w:rsid w:val="00EF3FB4"/>
    <w:rsid w:val="00EF5BD5"/>
    <w:rsid w:val="00F054FE"/>
    <w:rsid w:val="00F06967"/>
    <w:rsid w:val="00F10DE8"/>
    <w:rsid w:val="00F12558"/>
    <w:rsid w:val="00F12D41"/>
    <w:rsid w:val="00F14A09"/>
    <w:rsid w:val="00F15791"/>
    <w:rsid w:val="00F16BCA"/>
    <w:rsid w:val="00F1745F"/>
    <w:rsid w:val="00F22135"/>
    <w:rsid w:val="00F24E4F"/>
    <w:rsid w:val="00F26336"/>
    <w:rsid w:val="00F27AE9"/>
    <w:rsid w:val="00F27D49"/>
    <w:rsid w:val="00F30658"/>
    <w:rsid w:val="00F327FE"/>
    <w:rsid w:val="00F32FFC"/>
    <w:rsid w:val="00F3751C"/>
    <w:rsid w:val="00F50288"/>
    <w:rsid w:val="00F573C3"/>
    <w:rsid w:val="00F57912"/>
    <w:rsid w:val="00F611E0"/>
    <w:rsid w:val="00F619BB"/>
    <w:rsid w:val="00F64484"/>
    <w:rsid w:val="00F67EA2"/>
    <w:rsid w:val="00F744A3"/>
    <w:rsid w:val="00F822DA"/>
    <w:rsid w:val="00F868D5"/>
    <w:rsid w:val="00F87356"/>
    <w:rsid w:val="00F93A0F"/>
    <w:rsid w:val="00FA231F"/>
    <w:rsid w:val="00FA7BEB"/>
    <w:rsid w:val="00FA7EFB"/>
    <w:rsid w:val="00FB216D"/>
    <w:rsid w:val="00FB4096"/>
    <w:rsid w:val="00FB7185"/>
    <w:rsid w:val="00FC775A"/>
    <w:rsid w:val="00FC7928"/>
    <w:rsid w:val="00FD1BD9"/>
    <w:rsid w:val="00FD5BE7"/>
    <w:rsid w:val="00FE1033"/>
    <w:rsid w:val="00FE3543"/>
    <w:rsid w:val="00FE4C98"/>
    <w:rsid w:val="00FE755B"/>
    <w:rsid w:val="00FF0BC8"/>
    <w:rsid w:val="00FF1287"/>
    <w:rsid w:val="00FF5BE8"/>
    <w:rsid w:val="00FF5F94"/>
    <w:rsid w:val="00FF7D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1900E"/>
  <w15:chartTrackingRefBased/>
  <w15:docId w15:val="{80092814-CB9B-455B-A5A6-CC2FC5B4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A6C"/>
    <w:rPr>
      <w:rFonts w:ascii="Times New Roman" w:eastAsia="Times New Roman" w:hAnsi="Times New Roman"/>
      <w:sz w:val="24"/>
      <w:szCs w:val="24"/>
    </w:rPr>
  </w:style>
  <w:style w:type="paragraph" w:styleId="Ttulo1">
    <w:name w:val="heading 1"/>
    <w:basedOn w:val="Titulo"/>
    <w:next w:val="Normal"/>
    <w:link w:val="Ttulo1Char"/>
    <w:uiPriority w:val="9"/>
    <w:qFormat/>
    <w:rsid w:val="00FE4C98"/>
    <w:pPr>
      <w:outlineLvl w:val="0"/>
    </w:pPr>
  </w:style>
  <w:style w:type="paragraph" w:styleId="Ttulo2">
    <w:name w:val="heading 2"/>
    <w:basedOn w:val="Normal"/>
    <w:next w:val="Normal"/>
    <w:link w:val="Ttulo2Char"/>
    <w:uiPriority w:val="9"/>
    <w:unhideWhenUsed/>
    <w:qFormat/>
    <w:rsid w:val="006B6458"/>
    <w:pPr>
      <w:spacing w:before="120" w:after="120" w:line="360" w:lineRule="auto"/>
      <w:ind w:firstLine="703"/>
      <w:jc w:val="both"/>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573D67"/>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rsid w:val="00573D67"/>
    <w:pPr>
      <w:spacing w:before="160" w:after="160"/>
      <w:ind w:left="160" w:right="160"/>
    </w:pPr>
    <w:rPr>
      <w:rFonts w:ascii="Verdana" w:hAnsi="Verdana"/>
      <w:color w:val="000000"/>
      <w:sz w:val="20"/>
      <w:szCs w:val="20"/>
    </w:rPr>
  </w:style>
  <w:style w:type="character" w:styleId="Forte">
    <w:name w:val="Strong"/>
    <w:uiPriority w:val="22"/>
    <w:qFormat/>
    <w:rsid w:val="00573D67"/>
    <w:rPr>
      <w:b/>
      <w:bCs/>
    </w:rPr>
  </w:style>
  <w:style w:type="paragraph" w:styleId="Cabealho">
    <w:name w:val="header"/>
    <w:basedOn w:val="Normal"/>
    <w:link w:val="CabealhoChar"/>
    <w:rsid w:val="00573D67"/>
    <w:pPr>
      <w:tabs>
        <w:tab w:val="center" w:pos="4252"/>
        <w:tab w:val="right" w:pos="8504"/>
      </w:tabs>
    </w:pPr>
  </w:style>
  <w:style w:type="character" w:customStyle="1" w:styleId="CabealhoChar">
    <w:name w:val="Cabeçalho Char"/>
    <w:link w:val="Cabealho"/>
    <w:rsid w:val="00573D67"/>
    <w:rPr>
      <w:rFonts w:ascii="Times New Roman" w:eastAsia="Times New Roman" w:hAnsi="Times New Roman" w:cs="Times New Roman"/>
      <w:sz w:val="24"/>
      <w:szCs w:val="24"/>
      <w:lang w:eastAsia="pt-BR"/>
    </w:rPr>
  </w:style>
  <w:style w:type="character" w:styleId="Nmerodepgina">
    <w:name w:val="page number"/>
    <w:basedOn w:val="Fontepargpadro"/>
    <w:rsid w:val="00573D67"/>
  </w:style>
  <w:style w:type="paragraph" w:styleId="Textodenotaderodap">
    <w:name w:val="footnote text"/>
    <w:basedOn w:val="Normal"/>
    <w:link w:val="TextodenotaderodapChar"/>
    <w:rsid w:val="00573D67"/>
    <w:rPr>
      <w:sz w:val="20"/>
      <w:szCs w:val="20"/>
    </w:rPr>
  </w:style>
  <w:style w:type="character" w:customStyle="1" w:styleId="TextodenotaderodapChar">
    <w:name w:val="Texto de nota de rodapé Char"/>
    <w:link w:val="Textodenotaderodap"/>
    <w:rsid w:val="00573D67"/>
    <w:rPr>
      <w:rFonts w:ascii="Times New Roman" w:eastAsia="Times New Roman" w:hAnsi="Times New Roman" w:cs="Times New Roman"/>
      <w:sz w:val="20"/>
      <w:szCs w:val="20"/>
      <w:lang w:eastAsia="pt-BR"/>
    </w:rPr>
  </w:style>
  <w:style w:type="character" w:styleId="Refdenotaderodap">
    <w:name w:val="footnote reference"/>
    <w:rsid w:val="00573D67"/>
    <w:rPr>
      <w:vertAlign w:val="superscript"/>
    </w:rPr>
  </w:style>
  <w:style w:type="paragraph" w:styleId="Textodebalo">
    <w:name w:val="Balloon Text"/>
    <w:basedOn w:val="Normal"/>
    <w:link w:val="TextodebaloChar"/>
    <w:uiPriority w:val="99"/>
    <w:semiHidden/>
    <w:unhideWhenUsed/>
    <w:rsid w:val="0089295C"/>
    <w:rPr>
      <w:rFonts w:ascii="Tahoma" w:hAnsi="Tahoma" w:cs="Tahoma"/>
      <w:sz w:val="16"/>
      <w:szCs w:val="16"/>
    </w:rPr>
  </w:style>
  <w:style w:type="character" w:customStyle="1" w:styleId="TextodebaloChar">
    <w:name w:val="Texto de balão Char"/>
    <w:link w:val="Textodebalo"/>
    <w:uiPriority w:val="99"/>
    <w:semiHidden/>
    <w:rsid w:val="0089295C"/>
    <w:rPr>
      <w:rFonts w:ascii="Tahoma" w:eastAsia="Times New Roman" w:hAnsi="Tahoma" w:cs="Tahoma"/>
      <w:sz w:val="16"/>
      <w:szCs w:val="16"/>
      <w:lang w:eastAsia="pt-BR"/>
    </w:rPr>
  </w:style>
  <w:style w:type="character" w:styleId="Hyperlink">
    <w:name w:val="Hyperlink"/>
    <w:uiPriority w:val="99"/>
    <w:unhideWhenUsed/>
    <w:rsid w:val="00F67EA2"/>
    <w:rPr>
      <w:color w:val="0000FF"/>
      <w:u w:val="single"/>
    </w:rPr>
  </w:style>
  <w:style w:type="paragraph" w:styleId="Rodap">
    <w:name w:val="footer"/>
    <w:basedOn w:val="Normal"/>
    <w:link w:val="RodapChar"/>
    <w:uiPriority w:val="99"/>
    <w:unhideWhenUsed/>
    <w:rsid w:val="00A62A37"/>
    <w:pPr>
      <w:tabs>
        <w:tab w:val="center" w:pos="4252"/>
        <w:tab w:val="right" w:pos="8504"/>
      </w:tabs>
    </w:pPr>
  </w:style>
  <w:style w:type="character" w:customStyle="1" w:styleId="RodapChar">
    <w:name w:val="Rodapé Char"/>
    <w:link w:val="Rodap"/>
    <w:uiPriority w:val="99"/>
    <w:rsid w:val="00A62A37"/>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BB5B42"/>
    <w:rPr>
      <w:color w:val="954F72"/>
      <w:u w:val="single"/>
    </w:rPr>
  </w:style>
  <w:style w:type="paragraph" w:styleId="Reviso">
    <w:name w:val="Revision"/>
    <w:hidden/>
    <w:uiPriority w:val="99"/>
    <w:semiHidden/>
    <w:rsid w:val="00D07283"/>
    <w:rPr>
      <w:rFonts w:ascii="Times New Roman" w:eastAsia="Times New Roman" w:hAnsi="Times New Roman"/>
      <w:sz w:val="24"/>
      <w:szCs w:val="24"/>
    </w:rPr>
  </w:style>
  <w:style w:type="character" w:styleId="Refdecomentrio">
    <w:name w:val="annotation reference"/>
    <w:uiPriority w:val="99"/>
    <w:semiHidden/>
    <w:unhideWhenUsed/>
    <w:rsid w:val="00D71FBC"/>
    <w:rPr>
      <w:sz w:val="16"/>
      <w:szCs w:val="16"/>
    </w:rPr>
  </w:style>
  <w:style w:type="paragraph" w:styleId="Textodecomentrio">
    <w:name w:val="annotation text"/>
    <w:basedOn w:val="Normal"/>
    <w:link w:val="TextodecomentrioChar"/>
    <w:uiPriority w:val="99"/>
    <w:unhideWhenUsed/>
    <w:rsid w:val="00D71FBC"/>
    <w:rPr>
      <w:sz w:val="20"/>
      <w:szCs w:val="20"/>
    </w:rPr>
  </w:style>
  <w:style w:type="character" w:customStyle="1" w:styleId="TextodecomentrioChar">
    <w:name w:val="Texto de comentário Char"/>
    <w:link w:val="Textodecomentrio"/>
    <w:uiPriority w:val="99"/>
    <w:rsid w:val="00D71FBC"/>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D71FBC"/>
    <w:rPr>
      <w:b/>
      <w:bCs/>
    </w:rPr>
  </w:style>
  <w:style w:type="character" w:customStyle="1" w:styleId="AssuntodocomentrioChar">
    <w:name w:val="Assunto do comentário Char"/>
    <w:link w:val="Assuntodocomentrio"/>
    <w:uiPriority w:val="99"/>
    <w:semiHidden/>
    <w:rsid w:val="00D71FBC"/>
    <w:rPr>
      <w:rFonts w:ascii="Times New Roman" w:eastAsia="Times New Roman" w:hAnsi="Times New Roman"/>
      <w:b/>
      <w:bCs/>
    </w:rPr>
  </w:style>
  <w:style w:type="character" w:styleId="MenoPendente">
    <w:name w:val="Unresolved Mention"/>
    <w:uiPriority w:val="99"/>
    <w:semiHidden/>
    <w:unhideWhenUsed/>
    <w:rsid w:val="005168DA"/>
    <w:rPr>
      <w:color w:val="605E5C"/>
      <w:shd w:val="clear" w:color="auto" w:fill="E1DFDD"/>
    </w:rPr>
  </w:style>
  <w:style w:type="paragraph" w:customStyle="1" w:styleId="TextoCorridoABNT">
    <w:name w:val="Texto Corrido ABNT"/>
    <w:basedOn w:val="Normal"/>
    <w:link w:val="TextoCorridoABNTChar"/>
    <w:qFormat/>
    <w:rsid w:val="00FE4C98"/>
    <w:pPr>
      <w:spacing w:line="360" w:lineRule="auto"/>
      <w:ind w:firstLine="709"/>
      <w:jc w:val="both"/>
    </w:pPr>
  </w:style>
  <w:style w:type="paragraph" w:customStyle="1" w:styleId="xmsonormal">
    <w:name w:val="x_msonormal"/>
    <w:basedOn w:val="Normal"/>
    <w:rsid w:val="00207674"/>
    <w:pPr>
      <w:spacing w:before="100" w:beforeAutospacing="1" w:after="100" w:afterAutospacing="1"/>
    </w:pPr>
  </w:style>
  <w:style w:type="character" w:customStyle="1" w:styleId="TextoCorridoABNTChar">
    <w:name w:val="Texto Corrido ABNT Char"/>
    <w:link w:val="TextoCorridoABNT"/>
    <w:rsid w:val="00FE4C98"/>
    <w:rPr>
      <w:rFonts w:ascii="Times New Roman" w:eastAsia="Times New Roman" w:hAnsi="Times New Roman"/>
      <w:sz w:val="24"/>
      <w:szCs w:val="24"/>
    </w:rPr>
  </w:style>
  <w:style w:type="character" w:styleId="TextodoEspaoReservado">
    <w:name w:val="Placeholder Text"/>
    <w:basedOn w:val="Fontepargpadro"/>
    <w:uiPriority w:val="99"/>
    <w:semiHidden/>
    <w:rsid w:val="005D394A"/>
    <w:rPr>
      <w:color w:val="808080"/>
    </w:rPr>
  </w:style>
  <w:style w:type="character" w:customStyle="1" w:styleId="cf01">
    <w:name w:val="cf01"/>
    <w:basedOn w:val="Fontepargpadro"/>
    <w:rsid w:val="00921231"/>
    <w:rPr>
      <w:rFonts w:ascii="Segoe UI" w:hAnsi="Segoe UI" w:cs="Segoe UI" w:hint="default"/>
      <w:sz w:val="18"/>
      <w:szCs w:val="18"/>
    </w:rPr>
  </w:style>
  <w:style w:type="paragraph" w:styleId="Ttulo">
    <w:name w:val="Title"/>
    <w:basedOn w:val="Normal"/>
    <w:next w:val="Normal"/>
    <w:link w:val="TtuloChar"/>
    <w:uiPriority w:val="10"/>
    <w:qFormat/>
    <w:rsid w:val="00FE4C98"/>
    <w:pPr>
      <w:spacing w:line="360" w:lineRule="auto"/>
      <w:ind w:left="708"/>
      <w:contextualSpacing/>
    </w:pPr>
    <w:rPr>
      <w:rFonts w:eastAsiaTheme="majorEastAsia" w:cstheme="majorBidi"/>
      <w:b/>
      <w:spacing w:val="-10"/>
      <w:kern w:val="28"/>
      <w:szCs w:val="56"/>
    </w:rPr>
  </w:style>
  <w:style w:type="character" w:customStyle="1" w:styleId="TtuloChar">
    <w:name w:val="Título Char"/>
    <w:basedOn w:val="Fontepargpadro"/>
    <w:link w:val="Ttulo"/>
    <w:uiPriority w:val="10"/>
    <w:rsid w:val="00FE4C98"/>
    <w:rPr>
      <w:rFonts w:ascii="Times New Roman" w:eastAsiaTheme="majorEastAsia" w:hAnsi="Times New Roman" w:cstheme="majorBidi"/>
      <w:b/>
      <w:spacing w:val="-10"/>
      <w:kern w:val="28"/>
      <w:sz w:val="24"/>
      <w:szCs w:val="56"/>
    </w:rPr>
  </w:style>
  <w:style w:type="paragraph" w:customStyle="1" w:styleId="Titulo">
    <w:name w:val="Titulo"/>
    <w:basedOn w:val="Normal"/>
    <w:link w:val="TituloChar"/>
    <w:qFormat/>
    <w:rsid w:val="00FE4C98"/>
    <w:pPr>
      <w:spacing w:line="360" w:lineRule="auto"/>
      <w:ind w:left="360" w:firstLine="207"/>
      <w:jc w:val="both"/>
    </w:pPr>
    <w:rPr>
      <w:b/>
    </w:rPr>
  </w:style>
  <w:style w:type="character" w:customStyle="1" w:styleId="Ttulo1Char">
    <w:name w:val="Título 1 Char"/>
    <w:basedOn w:val="Fontepargpadro"/>
    <w:link w:val="Ttulo1"/>
    <w:uiPriority w:val="9"/>
    <w:rsid w:val="00FE4C98"/>
    <w:rPr>
      <w:rFonts w:ascii="Times New Roman" w:eastAsia="Times New Roman" w:hAnsi="Times New Roman"/>
      <w:b/>
      <w:sz w:val="24"/>
      <w:szCs w:val="24"/>
    </w:rPr>
  </w:style>
  <w:style w:type="character" w:customStyle="1" w:styleId="TituloChar">
    <w:name w:val="Titulo Char"/>
    <w:basedOn w:val="Fontepargpadro"/>
    <w:link w:val="Titulo"/>
    <w:rsid w:val="00FE4C98"/>
    <w:rPr>
      <w:rFonts w:ascii="Times New Roman" w:eastAsia="Times New Roman" w:hAnsi="Times New Roman"/>
      <w:b/>
      <w:sz w:val="24"/>
      <w:szCs w:val="24"/>
    </w:rPr>
  </w:style>
  <w:style w:type="paragraph" w:styleId="CabealhodoSumrio">
    <w:name w:val="TOC Heading"/>
    <w:basedOn w:val="Ttulo1"/>
    <w:next w:val="Normal"/>
    <w:uiPriority w:val="39"/>
    <w:unhideWhenUsed/>
    <w:qFormat/>
    <w:rsid w:val="00FE4C98"/>
    <w:pPr>
      <w:spacing w:line="259" w:lineRule="auto"/>
      <w:outlineLvl w:val="9"/>
    </w:pPr>
    <w:rPr>
      <w:lang w:val="en-US" w:eastAsia="en-US"/>
    </w:rPr>
  </w:style>
  <w:style w:type="character" w:customStyle="1" w:styleId="Ttulo2Char">
    <w:name w:val="Título 2 Char"/>
    <w:basedOn w:val="Fontepargpadro"/>
    <w:link w:val="Ttulo2"/>
    <w:uiPriority w:val="9"/>
    <w:rsid w:val="006B6458"/>
    <w:rPr>
      <w:rFonts w:ascii="Times New Roman" w:eastAsia="Times New Roman" w:hAnsi="Times New Roman"/>
      <w:sz w:val="24"/>
      <w:szCs w:val="24"/>
    </w:rPr>
  </w:style>
  <w:style w:type="paragraph" w:styleId="Sumrio1">
    <w:name w:val="toc 1"/>
    <w:basedOn w:val="Normal"/>
    <w:next w:val="Normal"/>
    <w:autoRedefine/>
    <w:uiPriority w:val="39"/>
    <w:unhideWhenUsed/>
    <w:rsid w:val="001068F0"/>
    <w:pPr>
      <w:tabs>
        <w:tab w:val="right" w:leader="dot" w:pos="9061"/>
      </w:tabs>
      <w:spacing w:after="100"/>
    </w:pPr>
  </w:style>
  <w:style w:type="paragraph" w:styleId="Sumrio2">
    <w:name w:val="toc 2"/>
    <w:basedOn w:val="Normal"/>
    <w:next w:val="Normal"/>
    <w:autoRedefine/>
    <w:uiPriority w:val="39"/>
    <w:unhideWhenUsed/>
    <w:rsid w:val="008B142E"/>
    <w:pPr>
      <w:tabs>
        <w:tab w:val="right" w:leader="dot" w:pos="9061"/>
      </w:tabs>
      <w:spacing w:after="100"/>
      <w:ind w:left="240"/>
    </w:pPr>
  </w:style>
  <w:style w:type="table" w:customStyle="1" w:styleId="TableGrid">
    <w:name w:val="TableGrid"/>
    <w:rsid w:val="001D744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extodenotadefim">
    <w:name w:val="endnote text"/>
    <w:basedOn w:val="Normal"/>
    <w:link w:val="TextodenotadefimChar"/>
    <w:uiPriority w:val="99"/>
    <w:semiHidden/>
    <w:unhideWhenUsed/>
    <w:rsid w:val="00DA4B48"/>
    <w:rPr>
      <w:sz w:val="20"/>
      <w:szCs w:val="20"/>
    </w:rPr>
  </w:style>
  <w:style w:type="character" w:customStyle="1" w:styleId="TextodenotadefimChar">
    <w:name w:val="Texto de nota de fim Char"/>
    <w:basedOn w:val="Fontepargpadro"/>
    <w:link w:val="Textodenotadefim"/>
    <w:uiPriority w:val="99"/>
    <w:semiHidden/>
    <w:rsid w:val="00DA4B48"/>
    <w:rPr>
      <w:rFonts w:ascii="Times New Roman" w:eastAsia="Times New Roman" w:hAnsi="Times New Roman"/>
    </w:rPr>
  </w:style>
  <w:style w:type="character" w:styleId="Refdenotadefim">
    <w:name w:val="endnote reference"/>
    <w:basedOn w:val="Fontepargpadro"/>
    <w:uiPriority w:val="99"/>
    <w:semiHidden/>
    <w:unhideWhenUsed/>
    <w:rsid w:val="00DA4B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365">
      <w:bodyDiv w:val="1"/>
      <w:marLeft w:val="0"/>
      <w:marRight w:val="0"/>
      <w:marTop w:val="0"/>
      <w:marBottom w:val="0"/>
      <w:divBdr>
        <w:top w:val="none" w:sz="0" w:space="0" w:color="auto"/>
        <w:left w:val="none" w:sz="0" w:space="0" w:color="auto"/>
        <w:bottom w:val="none" w:sz="0" w:space="0" w:color="auto"/>
        <w:right w:val="none" w:sz="0" w:space="0" w:color="auto"/>
      </w:divBdr>
    </w:div>
    <w:div w:id="83303014">
      <w:bodyDiv w:val="1"/>
      <w:marLeft w:val="0"/>
      <w:marRight w:val="0"/>
      <w:marTop w:val="0"/>
      <w:marBottom w:val="0"/>
      <w:divBdr>
        <w:top w:val="none" w:sz="0" w:space="0" w:color="auto"/>
        <w:left w:val="none" w:sz="0" w:space="0" w:color="auto"/>
        <w:bottom w:val="none" w:sz="0" w:space="0" w:color="auto"/>
        <w:right w:val="none" w:sz="0" w:space="0" w:color="auto"/>
      </w:divBdr>
    </w:div>
    <w:div w:id="214119501">
      <w:bodyDiv w:val="1"/>
      <w:marLeft w:val="0"/>
      <w:marRight w:val="0"/>
      <w:marTop w:val="0"/>
      <w:marBottom w:val="0"/>
      <w:divBdr>
        <w:top w:val="none" w:sz="0" w:space="0" w:color="auto"/>
        <w:left w:val="none" w:sz="0" w:space="0" w:color="auto"/>
        <w:bottom w:val="none" w:sz="0" w:space="0" w:color="auto"/>
        <w:right w:val="none" w:sz="0" w:space="0" w:color="auto"/>
      </w:divBdr>
    </w:div>
    <w:div w:id="465321554">
      <w:bodyDiv w:val="1"/>
      <w:marLeft w:val="0"/>
      <w:marRight w:val="0"/>
      <w:marTop w:val="0"/>
      <w:marBottom w:val="0"/>
      <w:divBdr>
        <w:top w:val="none" w:sz="0" w:space="0" w:color="auto"/>
        <w:left w:val="none" w:sz="0" w:space="0" w:color="auto"/>
        <w:bottom w:val="none" w:sz="0" w:space="0" w:color="auto"/>
        <w:right w:val="none" w:sz="0" w:space="0" w:color="auto"/>
      </w:divBdr>
    </w:div>
    <w:div w:id="590552910">
      <w:bodyDiv w:val="1"/>
      <w:marLeft w:val="0"/>
      <w:marRight w:val="0"/>
      <w:marTop w:val="0"/>
      <w:marBottom w:val="0"/>
      <w:divBdr>
        <w:top w:val="none" w:sz="0" w:space="0" w:color="auto"/>
        <w:left w:val="none" w:sz="0" w:space="0" w:color="auto"/>
        <w:bottom w:val="none" w:sz="0" w:space="0" w:color="auto"/>
        <w:right w:val="none" w:sz="0" w:space="0" w:color="auto"/>
      </w:divBdr>
    </w:div>
    <w:div w:id="694892540">
      <w:bodyDiv w:val="1"/>
      <w:marLeft w:val="0"/>
      <w:marRight w:val="0"/>
      <w:marTop w:val="0"/>
      <w:marBottom w:val="0"/>
      <w:divBdr>
        <w:top w:val="none" w:sz="0" w:space="0" w:color="auto"/>
        <w:left w:val="none" w:sz="0" w:space="0" w:color="auto"/>
        <w:bottom w:val="none" w:sz="0" w:space="0" w:color="auto"/>
        <w:right w:val="none" w:sz="0" w:space="0" w:color="auto"/>
      </w:divBdr>
    </w:div>
    <w:div w:id="770704348">
      <w:bodyDiv w:val="1"/>
      <w:marLeft w:val="0"/>
      <w:marRight w:val="0"/>
      <w:marTop w:val="0"/>
      <w:marBottom w:val="0"/>
      <w:divBdr>
        <w:top w:val="none" w:sz="0" w:space="0" w:color="auto"/>
        <w:left w:val="none" w:sz="0" w:space="0" w:color="auto"/>
        <w:bottom w:val="none" w:sz="0" w:space="0" w:color="auto"/>
        <w:right w:val="none" w:sz="0" w:space="0" w:color="auto"/>
      </w:divBdr>
    </w:div>
    <w:div w:id="985354278">
      <w:bodyDiv w:val="1"/>
      <w:marLeft w:val="0"/>
      <w:marRight w:val="0"/>
      <w:marTop w:val="0"/>
      <w:marBottom w:val="0"/>
      <w:divBdr>
        <w:top w:val="none" w:sz="0" w:space="0" w:color="auto"/>
        <w:left w:val="none" w:sz="0" w:space="0" w:color="auto"/>
        <w:bottom w:val="none" w:sz="0" w:space="0" w:color="auto"/>
        <w:right w:val="none" w:sz="0" w:space="0" w:color="auto"/>
      </w:divBdr>
    </w:div>
    <w:div w:id="1113210890">
      <w:bodyDiv w:val="1"/>
      <w:marLeft w:val="0"/>
      <w:marRight w:val="0"/>
      <w:marTop w:val="0"/>
      <w:marBottom w:val="0"/>
      <w:divBdr>
        <w:top w:val="none" w:sz="0" w:space="0" w:color="auto"/>
        <w:left w:val="none" w:sz="0" w:space="0" w:color="auto"/>
        <w:bottom w:val="none" w:sz="0" w:space="0" w:color="auto"/>
        <w:right w:val="none" w:sz="0" w:space="0" w:color="auto"/>
      </w:divBdr>
    </w:div>
    <w:div w:id="1228226252">
      <w:bodyDiv w:val="1"/>
      <w:marLeft w:val="0"/>
      <w:marRight w:val="0"/>
      <w:marTop w:val="0"/>
      <w:marBottom w:val="0"/>
      <w:divBdr>
        <w:top w:val="none" w:sz="0" w:space="0" w:color="auto"/>
        <w:left w:val="none" w:sz="0" w:space="0" w:color="auto"/>
        <w:bottom w:val="none" w:sz="0" w:space="0" w:color="auto"/>
        <w:right w:val="none" w:sz="0" w:space="0" w:color="auto"/>
      </w:divBdr>
    </w:div>
    <w:div w:id="1233734313">
      <w:bodyDiv w:val="1"/>
      <w:marLeft w:val="0"/>
      <w:marRight w:val="0"/>
      <w:marTop w:val="0"/>
      <w:marBottom w:val="0"/>
      <w:divBdr>
        <w:top w:val="none" w:sz="0" w:space="0" w:color="auto"/>
        <w:left w:val="none" w:sz="0" w:space="0" w:color="auto"/>
        <w:bottom w:val="none" w:sz="0" w:space="0" w:color="auto"/>
        <w:right w:val="none" w:sz="0" w:space="0" w:color="auto"/>
      </w:divBdr>
    </w:div>
    <w:div w:id="1423379666">
      <w:bodyDiv w:val="1"/>
      <w:marLeft w:val="0"/>
      <w:marRight w:val="0"/>
      <w:marTop w:val="0"/>
      <w:marBottom w:val="0"/>
      <w:divBdr>
        <w:top w:val="none" w:sz="0" w:space="0" w:color="auto"/>
        <w:left w:val="none" w:sz="0" w:space="0" w:color="auto"/>
        <w:bottom w:val="none" w:sz="0" w:space="0" w:color="auto"/>
        <w:right w:val="none" w:sz="0" w:space="0" w:color="auto"/>
      </w:divBdr>
    </w:div>
    <w:div w:id="2032610962">
      <w:bodyDiv w:val="1"/>
      <w:marLeft w:val="0"/>
      <w:marRight w:val="0"/>
      <w:marTop w:val="0"/>
      <w:marBottom w:val="0"/>
      <w:divBdr>
        <w:top w:val="none" w:sz="0" w:space="0" w:color="auto"/>
        <w:left w:val="none" w:sz="0" w:space="0" w:color="auto"/>
        <w:bottom w:val="none" w:sz="0" w:space="0" w:color="auto"/>
        <w:right w:val="none" w:sz="0" w:space="0" w:color="auto"/>
      </w:divBdr>
    </w:div>
    <w:div w:id="2052462571">
      <w:bodyDiv w:val="1"/>
      <w:marLeft w:val="0"/>
      <w:marRight w:val="0"/>
      <w:marTop w:val="0"/>
      <w:marBottom w:val="0"/>
      <w:divBdr>
        <w:top w:val="none" w:sz="0" w:space="0" w:color="auto"/>
        <w:left w:val="none" w:sz="0" w:space="0" w:color="auto"/>
        <w:bottom w:val="none" w:sz="0" w:space="0" w:color="auto"/>
        <w:right w:val="none" w:sz="0" w:space="0" w:color="auto"/>
      </w:divBdr>
    </w:div>
    <w:div w:id="2088651038">
      <w:bodyDiv w:val="1"/>
      <w:marLeft w:val="0"/>
      <w:marRight w:val="0"/>
      <w:marTop w:val="0"/>
      <w:marBottom w:val="0"/>
      <w:divBdr>
        <w:top w:val="none" w:sz="0" w:space="0" w:color="auto"/>
        <w:left w:val="none" w:sz="0" w:space="0" w:color="auto"/>
        <w:bottom w:val="none" w:sz="0" w:space="0" w:color="auto"/>
        <w:right w:val="none" w:sz="0" w:space="0" w:color="auto"/>
      </w:divBdr>
    </w:div>
    <w:div w:id="210469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A12A-D586-4E46-B152-30CB4846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26</Pages>
  <Words>9839</Words>
  <Characters>53133</Characters>
  <DocSecurity>0</DocSecurity>
  <Lines>442</Lines>
  <Paragraphs>125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UNIVERSIDADE FEDERAL DE SÃO CARLOS</vt:lpstr>
      <vt:lpstr>UNIVERSIDADE FEDERAL DE SÃO CARLOS</vt:lpstr>
    </vt:vector>
  </TitlesOfParts>
  <LinksUpToDate>false</LinksUpToDate>
  <CharactersWithSpaces>62847</CharactersWithSpaces>
  <SharedDoc>false</SharedDoc>
  <HLinks>
    <vt:vector size="6" baseType="variant">
      <vt:variant>
        <vt:i4>4980745</vt:i4>
      </vt:variant>
      <vt:variant>
        <vt:i4>0</vt:i4>
      </vt:variant>
      <vt:variant>
        <vt:i4>0</vt:i4>
      </vt:variant>
      <vt:variant>
        <vt:i4>5</vt:i4>
      </vt:variant>
      <vt:variant>
        <vt:lpwstr>http://www.sorocaba.ufscar.br/bso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2023-04-07T17:24:00Z</cp:lastPrinted>
  <dcterms:created xsi:type="dcterms:W3CDTF">2023-04-20T12:40:00Z</dcterms:created>
  <dcterms:modified xsi:type="dcterms:W3CDTF">2023-04-20T18:26:00Z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http://www.zotero.org/styles/agriculture-ecosystems-and-environment</vt:lpwstr>
  </property>
  <property fmtid="{D5CDD505-2E9C-101B-9397-08002B2CF9AE}" pid="3" name="Mendeley Recent Style Name 0_1">
    <vt:lpwstr>Agriculture, Ecosystems and Environment</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http://www.zotero.org/styles/forest-policy-and-economics</vt:lpwstr>
  </property>
  <property fmtid="{D5CDD505-2E9C-101B-9397-08002B2CF9AE}" pid="9" name="Mendeley Recent Style Name 3_1">
    <vt:lpwstr>Forest Policy and Economics</vt:lpwstr>
  </property>
  <property fmtid="{D5CDD505-2E9C-101B-9397-08002B2CF9AE}" pid="10" name="Mendeley Recent Style Id 4_1">
    <vt:lpwstr>http://www.zotero.org/styles/haute-ecole-de-gestion-de-geneve-iso-690</vt:lpwstr>
  </property>
  <property fmtid="{D5CDD505-2E9C-101B-9397-08002B2CF9AE}" pid="11" name="Mendeley Recent Style Name 4_1">
    <vt:lpwstr>Haute école de gestion de Genève - ISO-690 (English)</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http://www.zotero.org/styles/associacao-brasileira-de-normas-tecnicas-ufpr</vt:lpwstr>
  </property>
  <property fmtid="{D5CDD505-2E9C-101B-9397-08002B2CF9AE}" pid="19" name="Mendeley Recent Style Name 8_1">
    <vt:lpwstr>Universidade Federal do Paraná - ABNT (Portuguese - Brazil)</vt:lpwstr>
  </property>
  <property fmtid="{D5CDD505-2E9C-101B-9397-08002B2CF9AE}" pid="20" name="Mendeley Recent Style Id 9_1">
    <vt:lpwstr>http://www.zotero.org/styles/wine-economics-and-policy</vt:lpwstr>
  </property>
  <property fmtid="{D5CDD505-2E9C-101B-9397-08002B2CF9AE}" pid="21" name="Mendeley Recent Style Name 9_1">
    <vt:lpwstr>Wine Economics and Policy</vt:lpwstr>
  </property>
  <property fmtid="{D5CDD505-2E9C-101B-9397-08002B2CF9AE}" pid="22" name="Mendeley Document_1">
    <vt:lpwstr>True</vt:lpwstr>
  </property>
  <property fmtid="{D5CDD505-2E9C-101B-9397-08002B2CF9AE}" pid="23" name="Mendeley Unique User Id_1">
    <vt:lpwstr>63f76fb1-5a8e-3b9e-9ebb-3f58a8599def</vt:lpwstr>
  </property>
</Properties>
</file>