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473E3" w:rsidRDefault="00A651A6">
      <w:pPr>
        <w:spacing w:before="240" w:after="240" w:line="360" w:lineRule="auto"/>
        <w:jc w:val="center"/>
        <w:rPr>
          <w:b/>
          <w:sz w:val="24"/>
          <w:szCs w:val="24"/>
        </w:rPr>
      </w:pPr>
      <w:r>
        <w:rPr>
          <w:b/>
          <w:sz w:val="28"/>
          <w:szCs w:val="28"/>
        </w:rPr>
        <w:t>ANÁLISE DOS RESULTADOS DOS TESTES PRÉ-TRANSFUSIONAIS E DAS REAÇÕES PÓS-TRANSFUSIONAIS DE PACIENTES LEUCÊMICOS EM UM BANCO DE SANGUE</w:t>
      </w:r>
    </w:p>
    <w:p w:rsidR="000473E3" w:rsidRDefault="00A651A6">
      <w:pPr>
        <w:spacing w:before="240" w:after="240" w:line="360" w:lineRule="auto"/>
        <w:jc w:val="center"/>
        <w:rPr>
          <w:sz w:val="24"/>
          <w:szCs w:val="24"/>
          <w:vertAlign w:val="superscript"/>
        </w:rPr>
      </w:pPr>
      <w:r>
        <w:rPr>
          <w:sz w:val="24"/>
          <w:szCs w:val="24"/>
        </w:rPr>
        <w:t xml:space="preserve">Julia </w:t>
      </w:r>
      <w:proofErr w:type="spellStart"/>
      <w:r>
        <w:rPr>
          <w:sz w:val="24"/>
          <w:szCs w:val="24"/>
        </w:rPr>
        <w:t>Spohr</w:t>
      </w:r>
      <w:proofErr w:type="spellEnd"/>
      <w:r>
        <w:rPr>
          <w:sz w:val="24"/>
          <w:szCs w:val="24"/>
        </w:rPr>
        <w:t xml:space="preserve"> Vieira</w:t>
      </w:r>
      <w:r>
        <w:rPr>
          <w:sz w:val="24"/>
          <w:szCs w:val="24"/>
          <w:vertAlign w:val="superscript"/>
        </w:rPr>
        <w:t>1</w:t>
      </w:r>
      <w:r>
        <w:rPr>
          <w:sz w:val="24"/>
          <w:szCs w:val="24"/>
        </w:rPr>
        <w:t xml:space="preserve">, Geórgia </w:t>
      </w:r>
      <w:proofErr w:type="spellStart"/>
      <w:r>
        <w:rPr>
          <w:sz w:val="24"/>
          <w:szCs w:val="24"/>
        </w:rPr>
        <w:t>Muccillo</w:t>
      </w:r>
      <w:proofErr w:type="spellEnd"/>
      <w:r>
        <w:rPr>
          <w:sz w:val="24"/>
          <w:szCs w:val="24"/>
        </w:rPr>
        <w:t xml:space="preserve"> Dexheimer</w:t>
      </w:r>
      <w:r>
        <w:rPr>
          <w:sz w:val="24"/>
          <w:szCs w:val="24"/>
          <w:vertAlign w:val="superscript"/>
        </w:rPr>
        <w:t>2</w:t>
      </w:r>
    </w:p>
    <w:p w:rsidR="000473E3" w:rsidRDefault="000473E3">
      <w:pPr>
        <w:keepNext/>
        <w:keepLines/>
        <w:spacing w:after="120" w:line="360" w:lineRule="auto"/>
        <w:jc w:val="both"/>
        <w:rPr>
          <w:sz w:val="24"/>
          <w:szCs w:val="24"/>
          <w:vertAlign w:val="superscript"/>
        </w:rPr>
      </w:pPr>
    </w:p>
    <w:p w:rsidR="000473E3" w:rsidRDefault="00A651A6">
      <w:pPr>
        <w:keepNext/>
        <w:keepLines/>
        <w:spacing w:after="120" w:line="360" w:lineRule="auto"/>
        <w:jc w:val="both"/>
        <w:rPr>
          <w:sz w:val="24"/>
          <w:szCs w:val="24"/>
          <w:highlight w:val="white"/>
        </w:rPr>
      </w:pPr>
      <w:r>
        <w:rPr>
          <w:sz w:val="24"/>
          <w:szCs w:val="24"/>
          <w:vertAlign w:val="superscript"/>
        </w:rPr>
        <w:t xml:space="preserve">1 </w:t>
      </w:r>
      <w:r>
        <w:rPr>
          <w:sz w:val="24"/>
          <w:szCs w:val="24"/>
        </w:rPr>
        <w:t xml:space="preserve">Graduação em Biomedicina, Universidade do Vale do Taquari – </w:t>
      </w:r>
      <w:proofErr w:type="spellStart"/>
      <w:r>
        <w:rPr>
          <w:sz w:val="24"/>
          <w:szCs w:val="24"/>
        </w:rPr>
        <w:t>Univates</w:t>
      </w:r>
      <w:proofErr w:type="spellEnd"/>
      <w:r>
        <w:rPr>
          <w:sz w:val="24"/>
          <w:szCs w:val="24"/>
        </w:rPr>
        <w:t>. La</w:t>
      </w:r>
      <w:r>
        <w:rPr>
          <w:sz w:val="24"/>
          <w:szCs w:val="24"/>
        </w:rPr>
        <w:t>jeado – RS, Brasil. julia.vieira</w:t>
      </w:r>
      <w:hyperlink r:id="rId7">
        <w:r>
          <w:rPr>
            <w:sz w:val="24"/>
            <w:szCs w:val="24"/>
          </w:rPr>
          <w:t>@universo.univates.br</w:t>
        </w:r>
      </w:hyperlink>
      <w:hyperlink r:id="rId8">
        <w:r>
          <w:rPr>
            <w:sz w:val="24"/>
            <w:szCs w:val="24"/>
            <w:highlight w:val="white"/>
          </w:rPr>
          <w:t>.</w:t>
        </w:r>
      </w:hyperlink>
    </w:p>
    <w:p w:rsidR="000473E3" w:rsidRDefault="00A651A6">
      <w:pPr>
        <w:spacing w:after="120" w:line="360" w:lineRule="auto"/>
        <w:jc w:val="both"/>
        <w:rPr>
          <w:sz w:val="24"/>
          <w:szCs w:val="24"/>
        </w:rPr>
      </w:pPr>
      <w:r>
        <w:rPr>
          <w:sz w:val="24"/>
          <w:szCs w:val="24"/>
          <w:vertAlign w:val="superscript"/>
        </w:rPr>
        <w:t xml:space="preserve">2 </w:t>
      </w:r>
      <w:r>
        <w:rPr>
          <w:sz w:val="24"/>
          <w:szCs w:val="24"/>
        </w:rPr>
        <w:t xml:space="preserve">Doutorado em Biotecnologia. Universidade do Vale do Taquari - </w:t>
      </w:r>
      <w:proofErr w:type="spellStart"/>
      <w:r>
        <w:rPr>
          <w:sz w:val="24"/>
          <w:szCs w:val="24"/>
        </w:rPr>
        <w:t>Univates</w:t>
      </w:r>
      <w:proofErr w:type="spellEnd"/>
      <w:r>
        <w:rPr>
          <w:sz w:val="24"/>
          <w:szCs w:val="24"/>
        </w:rPr>
        <w:t>. Pro</w:t>
      </w:r>
      <w:r>
        <w:rPr>
          <w:sz w:val="24"/>
          <w:szCs w:val="24"/>
        </w:rPr>
        <w:t xml:space="preserve">fessora na Universidade do Vale do Taquari - </w:t>
      </w:r>
      <w:proofErr w:type="spellStart"/>
      <w:r>
        <w:rPr>
          <w:sz w:val="24"/>
          <w:szCs w:val="24"/>
        </w:rPr>
        <w:t>Univates</w:t>
      </w:r>
      <w:proofErr w:type="spellEnd"/>
      <w:r>
        <w:rPr>
          <w:sz w:val="24"/>
          <w:szCs w:val="24"/>
        </w:rPr>
        <w:t>. gdexheimer@univates.br.</w:t>
      </w:r>
    </w:p>
    <w:p w:rsidR="000473E3" w:rsidRDefault="000473E3">
      <w:pPr>
        <w:spacing w:before="240" w:after="240" w:line="360" w:lineRule="auto"/>
        <w:jc w:val="center"/>
        <w:rPr>
          <w:sz w:val="24"/>
          <w:szCs w:val="24"/>
        </w:rPr>
      </w:pPr>
    </w:p>
    <w:p w:rsidR="000473E3" w:rsidRDefault="00A651A6">
      <w:pPr>
        <w:spacing w:before="240" w:after="240" w:line="360" w:lineRule="auto"/>
        <w:rPr>
          <w:b/>
          <w:sz w:val="24"/>
          <w:szCs w:val="24"/>
        </w:rPr>
      </w:pPr>
      <w:r>
        <w:rPr>
          <w:b/>
          <w:sz w:val="24"/>
          <w:szCs w:val="24"/>
        </w:rPr>
        <w:t>RESUMO</w:t>
      </w:r>
    </w:p>
    <w:p w:rsidR="000473E3" w:rsidRDefault="00A651A6">
      <w:pPr>
        <w:spacing w:before="240" w:after="240" w:line="360" w:lineRule="auto"/>
        <w:jc w:val="both"/>
        <w:rPr>
          <w:sz w:val="24"/>
          <w:szCs w:val="24"/>
        </w:rPr>
      </w:pPr>
      <w:bookmarkStart w:id="0" w:name="_heading=h.gjdgxs" w:colFirst="0" w:colLast="0"/>
      <w:bookmarkEnd w:id="0"/>
      <w:r>
        <w:rPr>
          <w:sz w:val="24"/>
          <w:szCs w:val="24"/>
        </w:rPr>
        <w:t xml:space="preserve">Introdução: Embora os exames </w:t>
      </w:r>
      <w:proofErr w:type="spellStart"/>
      <w:r>
        <w:rPr>
          <w:sz w:val="24"/>
          <w:szCs w:val="24"/>
        </w:rPr>
        <w:t>pré</w:t>
      </w:r>
      <w:proofErr w:type="spellEnd"/>
      <w:r>
        <w:rPr>
          <w:sz w:val="24"/>
          <w:szCs w:val="24"/>
        </w:rPr>
        <w:t>-transfusionais tenham sido desenvolvidos para uma maior segurança nas transfusões sanguíneas, ainda assim alguns pacientes apresentam al</w:t>
      </w:r>
      <w:r>
        <w:rPr>
          <w:sz w:val="24"/>
          <w:szCs w:val="24"/>
        </w:rPr>
        <w:t xml:space="preserve">gumas reações transfusionais. Portanto, essa pesquisa tem como objetivo: avaliar quais foram os resultados encontrados nos testes </w:t>
      </w:r>
      <w:proofErr w:type="spellStart"/>
      <w:r>
        <w:rPr>
          <w:sz w:val="24"/>
          <w:szCs w:val="24"/>
        </w:rPr>
        <w:t>pré</w:t>
      </w:r>
      <w:proofErr w:type="spellEnd"/>
      <w:r>
        <w:rPr>
          <w:sz w:val="24"/>
          <w:szCs w:val="24"/>
        </w:rPr>
        <w:t>-transfusionais realizados em um Banco de Sangue e as reações pós-transfusionais verificadas em pacientes de um hospital. M</w:t>
      </w:r>
      <w:r>
        <w:rPr>
          <w:sz w:val="24"/>
          <w:szCs w:val="24"/>
        </w:rPr>
        <w:t xml:space="preserve">etodologia: os dados coletados foram os resultados dos testes </w:t>
      </w:r>
      <w:proofErr w:type="spellStart"/>
      <w:r>
        <w:rPr>
          <w:sz w:val="24"/>
          <w:szCs w:val="24"/>
        </w:rPr>
        <w:t>pré</w:t>
      </w:r>
      <w:proofErr w:type="spellEnd"/>
      <w:r>
        <w:rPr>
          <w:sz w:val="24"/>
          <w:szCs w:val="24"/>
        </w:rPr>
        <w:t xml:space="preserve"> e pós-transfusionais, o hemocomponente utilizado, entre outras informações importantes para pacientes que tiveram alguma reação transfusional. A obtenção desses dados foi através de uma pesq</w:t>
      </w:r>
      <w:r>
        <w:rPr>
          <w:sz w:val="24"/>
          <w:szCs w:val="24"/>
        </w:rPr>
        <w:t xml:space="preserve">uisa de dados em um sistema de base de dados - </w:t>
      </w:r>
      <w:proofErr w:type="spellStart"/>
      <w:r>
        <w:rPr>
          <w:sz w:val="24"/>
          <w:szCs w:val="24"/>
        </w:rPr>
        <w:t>Realblood</w:t>
      </w:r>
      <w:proofErr w:type="spellEnd"/>
      <w:r>
        <w:rPr>
          <w:sz w:val="24"/>
          <w:szCs w:val="24"/>
        </w:rPr>
        <w:t xml:space="preserve"> utilizado no banco de sangue. Resultados: O hemoderivado mais encontrado na pesquisa foi o concentrado de hemácias, por ser necessário em casos mais comuns, como anemias e hemorragias, a tipagem da m</w:t>
      </w:r>
      <w:r>
        <w:rPr>
          <w:sz w:val="24"/>
          <w:szCs w:val="24"/>
        </w:rPr>
        <w:t xml:space="preserve">aioria dos pacientes pesquisados foi o A positivo, e dos testes </w:t>
      </w:r>
      <w:proofErr w:type="spellStart"/>
      <w:r>
        <w:rPr>
          <w:sz w:val="24"/>
          <w:szCs w:val="24"/>
        </w:rPr>
        <w:t>pré</w:t>
      </w:r>
      <w:proofErr w:type="spellEnd"/>
      <w:r>
        <w:rPr>
          <w:sz w:val="24"/>
          <w:szCs w:val="24"/>
        </w:rPr>
        <w:t>-transfusionais dos 66 casos encontrados, 53 deram positivos para prova de compatibilidade, ou seja, 53 bolsas eram compatíveis com a amostra do receptor., os demais ou deram negativo ou nã</w:t>
      </w:r>
      <w:r>
        <w:rPr>
          <w:sz w:val="24"/>
          <w:szCs w:val="24"/>
        </w:rPr>
        <w:t xml:space="preserve">o foi realizado. Conclusão: Os exames que existem hoje, ainda não são específicos o suficiente para evitar e garantir que as reações não aconteçam, porém, com esses testes é possível minimizar os efeitos e evitar que reações mais graves ocorram.   </w:t>
      </w:r>
    </w:p>
    <w:p w:rsidR="000473E3" w:rsidRDefault="00A651A6">
      <w:pPr>
        <w:spacing w:before="240" w:after="240" w:line="360" w:lineRule="auto"/>
        <w:jc w:val="both"/>
        <w:rPr>
          <w:b/>
          <w:sz w:val="24"/>
          <w:szCs w:val="24"/>
        </w:rPr>
      </w:pPr>
      <w:bookmarkStart w:id="1" w:name="_heading=h.30j0zll" w:colFirst="0" w:colLast="0"/>
      <w:bookmarkEnd w:id="1"/>
      <w:r>
        <w:rPr>
          <w:b/>
          <w:sz w:val="24"/>
          <w:szCs w:val="24"/>
        </w:rPr>
        <w:lastRenderedPageBreak/>
        <w:t>Palavra</w:t>
      </w:r>
      <w:r>
        <w:rPr>
          <w:b/>
          <w:sz w:val="24"/>
          <w:szCs w:val="24"/>
        </w:rPr>
        <w:t xml:space="preserve">s-chave: </w:t>
      </w:r>
      <w:r>
        <w:rPr>
          <w:sz w:val="24"/>
          <w:szCs w:val="24"/>
        </w:rPr>
        <w:t xml:space="preserve">transfusão sanguínea, testes </w:t>
      </w:r>
      <w:proofErr w:type="spellStart"/>
      <w:r>
        <w:rPr>
          <w:sz w:val="24"/>
          <w:szCs w:val="24"/>
        </w:rPr>
        <w:t>pré</w:t>
      </w:r>
      <w:proofErr w:type="spellEnd"/>
      <w:r>
        <w:rPr>
          <w:sz w:val="24"/>
          <w:szCs w:val="24"/>
        </w:rPr>
        <w:t xml:space="preserve">-transfusionais, reações pós-transfusionais. </w:t>
      </w:r>
    </w:p>
    <w:p w:rsidR="000473E3" w:rsidRDefault="00A651A6">
      <w:pPr>
        <w:spacing w:before="240" w:after="100" w:line="360" w:lineRule="auto"/>
        <w:rPr>
          <w:sz w:val="24"/>
          <w:szCs w:val="24"/>
        </w:rPr>
        <w:sectPr w:rsidR="000473E3">
          <w:headerReference w:type="default" r:id="rId9"/>
          <w:headerReference w:type="first" r:id="rId10"/>
          <w:type w:val="continuous"/>
          <w:pgSz w:w="11906" w:h="16838"/>
          <w:pgMar w:top="1701" w:right="1134" w:bottom="1134" w:left="1701" w:header="1134" w:footer="0" w:gutter="0"/>
          <w:cols w:space="720"/>
        </w:sectPr>
      </w:pPr>
      <w:bookmarkStart w:id="2" w:name="_heading=h.1fob9te" w:colFirst="0" w:colLast="0"/>
      <w:bookmarkStart w:id="3" w:name="_GoBack"/>
      <w:bookmarkEnd w:id="2"/>
      <w:bookmarkEnd w:id="3"/>
      <w:r>
        <w:rPr>
          <w:b/>
          <w:sz w:val="24"/>
          <w:szCs w:val="24"/>
        </w:rPr>
        <w:t>INTRODUÇÃO</w:t>
      </w:r>
      <w:r>
        <w:rPr>
          <w:sz w:val="24"/>
          <w:szCs w:val="24"/>
        </w:rPr>
        <w:tab/>
      </w:r>
    </w:p>
    <w:p w:rsidR="000473E3" w:rsidRDefault="00A651A6">
      <w:pPr>
        <w:spacing w:after="120" w:line="360" w:lineRule="auto"/>
        <w:ind w:firstLine="720"/>
        <w:jc w:val="both"/>
        <w:rPr>
          <w:sz w:val="24"/>
          <w:szCs w:val="24"/>
          <w:highlight w:val="white"/>
        </w:rPr>
      </w:pPr>
      <w:r>
        <w:rPr>
          <w:sz w:val="24"/>
          <w:szCs w:val="24"/>
        </w:rPr>
        <w:t xml:space="preserve">No início do século XX, o médico estadunidense </w:t>
      </w:r>
      <w:r>
        <w:rPr>
          <w:sz w:val="24"/>
          <w:szCs w:val="24"/>
          <w:highlight w:val="white"/>
        </w:rPr>
        <w:t xml:space="preserve">Karl </w:t>
      </w:r>
      <w:proofErr w:type="spellStart"/>
      <w:r>
        <w:rPr>
          <w:sz w:val="24"/>
          <w:szCs w:val="24"/>
          <w:highlight w:val="white"/>
        </w:rPr>
        <w:t>Landsteiner</w:t>
      </w:r>
      <w:proofErr w:type="spellEnd"/>
      <w:r>
        <w:rPr>
          <w:sz w:val="24"/>
          <w:szCs w:val="24"/>
          <w:highlight w:val="white"/>
        </w:rPr>
        <w:t xml:space="preserve"> descobriu o sistema ABO de grupos sanguíneos, o mais importante até hoje na medicina transfusional. O experimento foi feito mediante uma prova cruzada entre o seu sangue e de seus colegas de laboratório. Na leitura do resultado, o médico o</w:t>
      </w:r>
      <w:r>
        <w:rPr>
          <w:sz w:val="24"/>
          <w:szCs w:val="24"/>
          <w:highlight w:val="white"/>
        </w:rPr>
        <w:t>bservou que havia ocorrido uma aglutinação das hemácias misturadas ao soro de tipagens sanguíneas distintas (CASTILHO et al., 2015).</w:t>
      </w:r>
    </w:p>
    <w:p w:rsidR="000473E3" w:rsidRDefault="00A651A6">
      <w:pPr>
        <w:spacing w:after="120" w:line="360" w:lineRule="auto"/>
        <w:jc w:val="both"/>
        <w:rPr>
          <w:sz w:val="24"/>
          <w:szCs w:val="24"/>
        </w:rPr>
      </w:pPr>
      <w:r>
        <w:rPr>
          <w:sz w:val="24"/>
          <w:szCs w:val="24"/>
          <w:highlight w:val="white"/>
        </w:rPr>
        <w:tab/>
        <w:t xml:space="preserve">Posteriormente, em 1939, Levine e </w:t>
      </w:r>
      <w:proofErr w:type="spellStart"/>
      <w:r>
        <w:rPr>
          <w:sz w:val="24"/>
          <w:szCs w:val="24"/>
          <w:highlight w:val="white"/>
        </w:rPr>
        <w:t>Sterson</w:t>
      </w:r>
      <w:proofErr w:type="spellEnd"/>
      <w:r>
        <w:rPr>
          <w:sz w:val="24"/>
          <w:szCs w:val="24"/>
          <w:highlight w:val="white"/>
        </w:rPr>
        <w:t xml:space="preserve"> descobriram o mais complexo dos sistemas eritrocitários, qual seja, o Sistema Rh</w:t>
      </w:r>
      <w:r>
        <w:rPr>
          <w:sz w:val="24"/>
          <w:szCs w:val="24"/>
          <w:highlight w:val="white"/>
        </w:rPr>
        <w:t>, que é o segundo mais importante na medicina transfusional. A descoberta foi feita através da Doença Hemolítica Perinatal (DHPN), quando uma mulher, ao dar à luz uma criança com anemia hemolítica, necessitou de transfusão sanguínea que fosse com um sangue</w:t>
      </w:r>
      <w:r>
        <w:rPr>
          <w:sz w:val="24"/>
          <w:szCs w:val="24"/>
          <w:highlight w:val="white"/>
        </w:rPr>
        <w:t xml:space="preserve"> compatível pelo sistema ABO, neste caso, foi utilizado de seu esposo. Seu soro acabou aglutinando com as hemácias recebidas, provando que os sangues apresentavam alguma diferença </w:t>
      </w:r>
      <w:r>
        <w:rPr>
          <w:sz w:val="24"/>
          <w:szCs w:val="24"/>
        </w:rPr>
        <w:t>(MINISTÉRIO DA SAÚDE, 2014).</w:t>
      </w:r>
    </w:p>
    <w:p w:rsidR="000473E3" w:rsidRDefault="00A651A6">
      <w:pPr>
        <w:spacing w:after="120" w:line="360" w:lineRule="auto"/>
        <w:ind w:firstLine="720"/>
        <w:jc w:val="both"/>
        <w:rPr>
          <w:sz w:val="24"/>
          <w:szCs w:val="24"/>
        </w:rPr>
      </w:pPr>
      <w:r>
        <w:rPr>
          <w:sz w:val="24"/>
          <w:szCs w:val="24"/>
          <w:highlight w:val="white"/>
        </w:rPr>
        <w:t xml:space="preserve">Junto a isso, </w:t>
      </w:r>
      <w:proofErr w:type="spellStart"/>
      <w:r>
        <w:rPr>
          <w:sz w:val="24"/>
          <w:szCs w:val="24"/>
          <w:highlight w:val="white"/>
        </w:rPr>
        <w:t>Landsteiner</w:t>
      </w:r>
      <w:proofErr w:type="spellEnd"/>
      <w:r>
        <w:rPr>
          <w:sz w:val="24"/>
          <w:szCs w:val="24"/>
          <w:highlight w:val="white"/>
        </w:rPr>
        <w:t xml:space="preserve"> e </w:t>
      </w:r>
      <w:proofErr w:type="spellStart"/>
      <w:r>
        <w:rPr>
          <w:sz w:val="24"/>
          <w:szCs w:val="24"/>
          <w:highlight w:val="white"/>
        </w:rPr>
        <w:t>Wiener</w:t>
      </w:r>
      <w:proofErr w:type="spellEnd"/>
      <w:r>
        <w:rPr>
          <w:sz w:val="24"/>
          <w:szCs w:val="24"/>
          <w:highlight w:val="white"/>
        </w:rPr>
        <w:t xml:space="preserve"> viram que o </w:t>
      </w:r>
      <w:r>
        <w:rPr>
          <w:sz w:val="24"/>
          <w:szCs w:val="24"/>
          <w:highlight w:val="white"/>
        </w:rPr>
        <w:t xml:space="preserve">soro de coelhos imunizados com hemácias do macaco </w:t>
      </w:r>
      <w:proofErr w:type="spellStart"/>
      <w:r>
        <w:rPr>
          <w:sz w:val="24"/>
          <w:szCs w:val="24"/>
          <w:highlight w:val="white"/>
        </w:rPr>
        <w:t>Rhesus</w:t>
      </w:r>
      <w:proofErr w:type="spellEnd"/>
      <w:r>
        <w:rPr>
          <w:sz w:val="24"/>
          <w:szCs w:val="24"/>
          <w:highlight w:val="white"/>
        </w:rPr>
        <w:t xml:space="preserve"> também aglutinavam com hemácias humanas. Assim, inicialmente concluíram que os anticorpos identificavam</w:t>
      </w:r>
      <w:r>
        <w:rPr>
          <w:sz w:val="24"/>
          <w:szCs w:val="24"/>
        </w:rPr>
        <w:t xml:space="preserve"> o mesmo antígeno nas hemácias de seres humanos e nas do macaco </w:t>
      </w:r>
      <w:proofErr w:type="spellStart"/>
      <w:r>
        <w:rPr>
          <w:sz w:val="24"/>
          <w:szCs w:val="24"/>
        </w:rPr>
        <w:t>Rhesus</w:t>
      </w:r>
      <w:proofErr w:type="spellEnd"/>
      <w:r>
        <w:rPr>
          <w:sz w:val="24"/>
          <w:szCs w:val="24"/>
        </w:rPr>
        <w:t>, mas, posteriormente, foi</w:t>
      </w:r>
      <w:r>
        <w:rPr>
          <w:sz w:val="24"/>
          <w:szCs w:val="24"/>
        </w:rPr>
        <w:t xml:space="preserve"> identificado que não era o mesmo antígeno, porém a nomenclatura ficou Siste</w:t>
      </w:r>
      <w:r>
        <w:rPr>
          <w:sz w:val="24"/>
          <w:szCs w:val="24"/>
          <w:highlight w:val="white"/>
        </w:rPr>
        <w:t xml:space="preserve">ma Rh e a do anticorpo ficou </w:t>
      </w:r>
      <w:proofErr w:type="spellStart"/>
      <w:r>
        <w:rPr>
          <w:sz w:val="24"/>
          <w:szCs w:val="24"/>
          <w:highlight w:val="white"/>
        </w:rPr>
        <w:t>anti-D</w:t>
      </w:r>
      <w:proofErr w:type="spellEnd"/>
      <w:r>
        <w:rPr>
          <w:sz w:val="24"/>
          <w:szCs w:val="24"/>
          <w:highlight w:val="white"/>
        </w:rPr>
        <w:t xml:space="preserve"> </w:t>
      </w:r>
      <w:r>
        <w:rPr>
          <w:sz w:val="24"/>
          <w:szCs w:val="24"/>
        </w:rPr>
        <w:t>(MINISTÉRIO DA SAÚDE, 2014).</w:t>
      </w:r>
    </w:p>
    <w:p w:rsidR="000473E3" w:rsidRDefault="00A651A6">
      <w:pPr>
        <w:spacing w:after="120" w:line="360" w:lineRule="auto"/>
        <w:ind w:firstLine="720"/>
        <w:jc w:val="both"/>
        <w:rPr>
          <w:sz w:val="24"/>
          <w:szCs w:val="24"/>
          <w:highlight w:val="white"/>
        </w:rPr>
      </w:pPr>
      <w:r>
        <w:rPr>
          <w:sz w:val="24"/>
          <w:szCs w:val="24"/>
          <w:highlight w:val="white"/>
        </w:rPr>
        <w:t xml:space="preserve">O grupo sanguíneo de uma pessoa vai depender do </w:t>
      </w:r>
      <w:proofErr w:type="spellStart"/>
      <w:r>
        <w:rPr>
          <w:sz w:val="24"/>
          <w:szCs w:val="24"/>
          <w:highlight w:val="white"/>
        </w:rPr>
        <w:t>Igm</w:t>
      </w:r>
      <w:proofErr w:type="spellEnd"/>
      <w:r>
        <w:rPr>
          <w:sz w:val="24"/>
          <w:szCs w:val="24"/>
          <w:highlight w:val="white"/>
        </w:rPr>
        <w:t xml:space="preserve"> (imunoglobulina M) pré-formado presente no seu soro, podendo se</w:t>
      </w:r>
      <w:r>
        <w:rPr>
          <w:sz w:val="24"/>
          <w:szCs w:val="24"/>
          <w:highlight w:val="white"/>
        </w:rPr>
        <w:t xml:space="preserve">r </w:t>
      </w:r>
      <w:proofErr w:type="spellStart"/>
      <w:r>
        <w:rPr>
          <w:sz w:val="24"/>
          <w:szCs w:val="24"/>
          <w:highlight w:val="white"/>
        </w:rPr>
        <w:t>anti-A</w:t>
      </w:r>
      <w:proofErr w:type="spellEnd"/>
      <w:r>
        <w:rPr>
          <w:sz w:val="24"/>
          <w:szCs w:val="24"/>
          <w:highlight w:val="white"/>
        </w:rPr>
        <w:t xml:space="preserve">, </w:t>
      </w:r>
      <w:proofErr w:type="spellStart"/>
      <w:r>
        <w:rPr>
          <w:sz w:val="24"/>
          <w:szCs w:val="24"/>
          <w:highlight w:val="white"/>
        </w:rPr>
        <w:t>anti-B</w:t>
      </w:r>
      <w:proofErr w:type="spellEnd"/>
      <w:r>
        <w:rPr>
          <w:sz w:val="24"/>
          <w:szCs w:val="24"/>
          <w:highlight w:val="white"/>
        </w:rPr>
        <w:t xml:space="preserve"> ou inexistente. Os </w:t>
      </w:r>
      <w:proofErr w:type="spellStart"/>
      <w:r>
        <w:rPr>
          <w:sz w:val="24"/>
          <w:szCs w:val="24"/>
          <w:highlight w:val="white"/>
        </w:rPr>
        <w:t>epitopos</w:t>
      </w:r>
      <w:proofErr w:type="spellEnd"/>
      <w:r>
        <w:rPr>
          <w:sz w:val="24"/>
          <w:szCs w:val="24"/>
          <w:highlight w:val="white"/>
        </w:rPr>
        <w:t xml:space="preserve"> AB são resíduos terminais localizados na superfície celular e nas secreções </w:t>
      </w:r>
      <w:proofErr w:type="spellStart"/>
      <w:r>
        <w:rPr>
          <w:sz w:val="24"/>
          <w:szCs w:val="24"/>
          <w:highlight w:val="white"/>
        </w:rPr>
        <w:t>biossintetizadas</w:t>
      </w:r>
      <w:proofErr w:type="spellEnd"/>
      <w:r>
        <w:rPr>
          <w:sz w:val="24"/>
          <w:szCs w:val="24"/>
          <w:highlight w:val="white"/>
        </w:rPr>
        <w:t xml:space="preserve"> por </w:t>
      </w:r>
      <w:proofErr w:type="spellStart"/>
      <w:r>
        <w:rPr>
          <w:sz w:val="24"/>
          <w:szCs w:val="24"/>
          <w:highlight w:val="white"/>
        </w:rPr>
        <w:t>glicosiltransferases</w:t>
      </w:r>
      <w:proofErr w:type="spellEnd"/>
      <w:r>
        <w:rPr>
          <w:sz w:val="24"/>
          <w:szCs w:val="24"/>
          <w:highlight w:val="white"/>
        </w:rPr>
        <w:t xml:space="preserve"> específicas de ABO, que se encontram no braço longo do cromossomo 9 (OLSSON et al., 2001).</w:t>
      </w:r>
    </w:p>
    <w:p w:rsidR="000473E3" w:rsidRDefault="00A651A6">
      <w:pPr>
        <w:spacing w:after="120" w:line="360" w:lineRule="auto"/>
        <w:ind w:firstLine="720"/>
        <w:jc w:val="both"/>
        <w:rPr>
          <w:sz w:val="24"/>
          <w:szCs w:val="24"/>
        </w:rPr>
      </w:pPr>
      <w:r>
        <w:rPr>
          <w:sz w:val="24"/>
          <w:szCs w:val="24"/>
        </w:rPr>
        <w:t>Um</w:t>
      </w:r>
      <w:r>
        <w:rPr>
          <w:sz w:val="24"/>
          <w:szCs w:val="24"/>
        </w:rPr>
        <w:t>a bolsa de sangue total é composta por hemocomponentes, e cada um deles com suas devidas funções. O Concentrado de hemácias (CHAD) tem função de elevar a hemoglobina em 1g/</w:t>
      </w:r>
      <w:proofErr w:type="spellStart"/>
      <w:r>
        <w:rPr>
          <w:sz w:val="24"/>
          <w:szCs w:val="24"/>
        </w:rPr>
        <w:t>dL</w:t>
      </w:r>
      <w:proofErr w:type="spellEnd"/>
      <w:r>
        <w:rPr>
          <w:sz w:val="24"/>
          <w:szCs w:val="24"/>
        </w:rPr>
        <w:t xml:space="preserve"> e o hematócrito em 3%, por isso é indicada em casos de pacientes com hemoglobina </w:t>
      </w:r>
      <w:r>
        <w:rPr>
          <w:sz w:val="24"/>
          <w:szCs w:val="24"/>
        </w:rPr>
        <w:t>abaixo de 7g/</w:t>
      </w:r>
      <w:proofErr w:type="spellStart"/>
      <w:r>
        <w:rPr>
          <w:sz w:val="24"/>
          <w:szCs w:val="24"/>
        </w:rPr>
        <w:t>dL</w:t>
      </w:r>
      <w:proofErr w:type="spellEnd"/>
      <w:r>
        <w:rPr>
          <w:sz w:val="24"/>
          <w:szCs w:val="24"/>
        </w:rPr>
        <w:t xml:space="preserve">, com anemias, síndrome coronariana </w:t>
      </w:r>
      <w:r>
        <w:rPr>
          <w:sz w:val="24"/>
          <w:szCs w:val="24"/>
        </w:rPr>
        <w:lastRenderedPageBreak/>
        <w:t xml:space="preserve">aguda, perda excessiva de sangue, no período </w:t>
      </w:r>
      <w:proofErr w:type="spellStart"/>
      <w:r>
        <w:rPr>
          <w:sz w:val="24"/>
          <w:szCs w:val="24"/>
        </w:rPr>
        <w:t>perioperatório</w:t>
      </w:r>
      <w:proofErr w:type="spellEnd"/>
      <w:r>
        <w:rPr>
          <w:sz w:val="24"/>
          <w:szCs w:val="24"/>
        </w:rPr>
        <w:t xml:space="preserve"> e em pacientes com a doença da medula óssea aguda, como a Leucemia (RODRIGUES et al., 2017). </w:t>
      </w:r>
    </w:p>
    <w:p w:rsidR="000473E3" w:rsidRDefault="00A651A6">
      <w:pPr>
        <w:spacing w:after="120" w:line="360" w:lineRule="auto"/>
        <w:ind w:firstLine="720"/>
        <w:jc w:val="both"/>
        <w:rPr>
          <w:sz w:val="24"/>
          <w:szCs w:val="24"/>
        </w:rPr>
      </w:pPr>
      <w:r>
        <w:rPr>
          <w:sz w:val="24"/>
          <w:szCs w:val="24"/>
        </w:rPr>
        <w:t>Outro hemoderivado bastante utilizado são as plaque</w:t>
      </w:r>
      <w:r>
        <w:rPr>
          <w:sz w:val="24"/>
          <w:szCs w:val="24"/>
        </w:rPr>
        <w:t>tas que podem ser transfundidas de duas formas, profilática, para prevenir um sangramento em algum procedimento invasivo ou de forma terapêutica para tratar um possível defeito na função das plaquetas, bem como um sangramento ativo (BAIOCCHI et. al., 2019)</w:t>
      </w:r>
    </w:p>
    <w:p w:rsidR="000473E3" w:rsidRDefault="00A651A6">
      <w:pPr>
        <w:spacing w:after="120" w:line="360" w:lineRule="auto"/>
        <w:ind w:firstLine="720"/>
        <w:jc w:val="both"/>
        <w:rPr>
          <w:sz w:val="24"/>
          <w:szCs w:val="24"/>
          <w:highlight w:val="white"/>
        </w:rPr>
      </w:pPr>
      <w:r>
        <w:rPr>
          <w:sz w:val="24"/>
          <w:szCs w:val="24"/>
        </w:rPr>
        <w:t xml:space="preserve">Em casos de tratamento da deficiência de fatores de coagulação, principalmente da deficiência do fator </w:t>
      </w:r>
      <w:proofErr w:type="gramStart"/>
      <w:r>
        <w:rPr>
          <w:sz w:val="24"/>
          <w:szCs w:val="24"/>
        </w:rPr>
        <w:t>XI,  e</w:t>
      </w:r>
      <w:proofErr w:type="gramEnd"/>
      <w:r>
        <w:rPr>
          <w:sz w:val="24"/>
          <w:szCs w:val="24"/>
        </w:rPr>
        <w:t xml:space="preserve"> em pacientes sujeitos a troca de plasma em Púrpura </w:t>
      </w:r>
      <w:proofErr w:type="spellStart"/>
      <w:r>
        <w:rPr>
          <w:sz w:val="24"/>
          <w:szCs w:val="24"/>
        </w:rPr>
        <w:t>Trombocitopênica</w:t>
      </w:r>
      <w:proofErr w:type="spellEnd"/>
      <w:r>
        <w:rPr>
          <w:sz w:val="24"/>
          <w:szCs w:val="24"/>
        </w:rPr>
        <w:t xml:space="preserve"> Trombótica (PTT), Síndrome Hemolítico-Urêmica (SHU) ou Síndrome de HELLP, dev</w:t>
      </w:r>
      <w:r>
        <w:rPr>
          <w:sz w:val="24"/>
          <w:szCs w:val="24"/>
        </w:rPr>
        <w:t>e-se transfundir o plasma (HARMENING, et. al. 2006).</w:t>
      </w:r>
    </w:p>
    <w:p w:rsidR="000473E3" w:rsidRDefault="00A651A6">
      <w:pPr>
        <w:spacing w:after="120" w:line="360" w:lineRule="auto"/>
        <w:jc w:val="both"/>
        <w:rPr>
          <w:sz w:val="24"/>
          <w:szCs w:val="24"/>
          <w:highlight w:val="white"/>
        </w:rPr>
      </w:pPr>
      <w:r>
        <w:rPr>
          <w:sz w:val="24"/>
          <w:szCs w:val="24"/>
          <w:highlight w:val="white"/>
        </w:rPr>
        <w:tab/>
        <w:t>Entre os perfis de receptores de bolsas de sangue está o paciente portador de leucemia, um tipo de câncer nas células brancas do sangue que inibe a formação de novas células vermelhas, de plaquetas e de</w:t>
      </w:r>
      <w:r>
        <w:rPr>
          <w:sz w:val="24"/>
          <w:szCs w:val="24"/>
          <w:highlight w:val="white"/>
        </w:rPr>
        <w:t xml:space="preserve"> glóbulos brancos. Existem muitos subtipos dessa doença, mas os principais são leucemia mieloide e leucemia </w:t>
      </w:r>
      <w:proofErr w:type="spellStart"/>
      <w:r>
        <w:rPr>
          <w:sz w:val="24"/>
          <w:szCs w:val="24"/>
          <w:highlight w:val="white"/>
        </w:rPr>
        <w:t>linfóide</w:t>
      </w:r>
      <w:proofErr w:type="spellEnd"/>
      <w:r>
        <w:rPr>
          <w:sz w:val="24"/>
          <w:szCs w:val="24"/>
          <w:highlight w:val="white"/>
        </w:rPr>
        <w:t>, que também são divididas em agudas e crônicas (HAMERSCHLAK, 2008).</w:t>
      </w:r>
    </w:p>
    <w:p w:rsidR="000473E3" w:rsidRDefault="00A651A6">
      <w:pPr>
        <w:spacing w:after="120" w:line="360" w:lineRule="auto"/>
        <w:jc w:val="both"/>
        <w:rPr>
          <w:sz w:val="24"/>
          <w:szCs w:val="24"/>
          <w:highlight w:val="white"/>
        </w:rPr>
      </w:pPr>
      <w:r>
        <w:rPr>
          <w:sz w:val="24"/>
          <w:szCs w:val="24"/>
          <w:highlight w:val="white"/>
        </w:rPr>
        <w:tab/>
        <w:t>Outro perfil de pacientes que necessitam de transfusão são os anêmicos</w:t>
      </w:r>
      <w:r>
        <w:rPr>
          <w:sz w:val="24"/>
          <w:szCs w:val="24"/>
          <w:highlight w:val="white"/>
        </w:rPr>
        <w:t xml:space="preserve">, ou por alguma disfunção na produção de hemácias ou por hemorragias, e como o concentrado de hemácias eleva as células eritrocitárias do sangue, é indicativo de transfusão. Em casos de </w:t>
      </w:r>
      <w:proofErr w:type="spellStart"/>
      <w:r>
        <w:rPr>
          <w:sz w:val="24"/>
          <w:szCs w:val="24"/>
          <w:highlight w:val="white"/>
        </w:rPr>
        <w:t>trombofilia</w:t>
      </w:r>
      <w:proofErr w:type="spellEnd"/>
      <w:r>
        <w:rPr>
          <w:sz w:val="24"/>
          <w:szCs w:val="24"/>
          <w:highlight w:val="white"/>
        </w:rPr>
        <w:t xml:space="preserve"> ou em pacientes com contagem baixa de plaquetas, é sugerid</w:t>
      </w:r>
      <w:r>
        <w:rPr>
          <w:sz w:val="24"/>
          <w:szCs w:val="24"/>
          <w:highlight w:val="white"/>
        </w:rPr>
        <w:t xml:space="preserve">o transfundir concentrado de plaquetas, sabendo que as elas têm função de tampão hemostático controlando o </w:t>
      </w:r>
      <w:proofErr w:type="gramStart"/>
      <w:r>
        <w:rPr>
          <w:sz w:val="24"/>
          <w:szCs w:val="24"/>
          <w:highlight w:val="white"/>
        </w:rPr>
        <w:t>sangramento  (</w:t>
      </w:r>
      <w:proofErr w:type="gramEnd"/>
      <w:r>
        <w:rPr>
          <w:sz w:val="24"/>
          <w:szCs w:val="24"/>
          <w:highlight w:val="white"/>
        </w:rPr>
        <w:t xml:space="preserve">RAZOUK, et. al., 2004). </w:t>
      </w:r>
    </w:p>
    <w:p w:rsidR="000473E3" w:rsidRDefault="00A651A6">
      <w:pPr>
        <w:spacing w:after="120" w:line="360" w:lineRule="auto"/>
        <w:jc w:val="both"/>
        <w:rPr>
          <w:sz w:val="24"/>
          <w:szCs w:val="24"/>
          <w:highlight w:val="white"/>
        </w:rPr>
        <w:sectPr w:rsidR="000473E3">
          <w:type w:val="continuous"/>
          <w:pgSz w:w="11906" w:h="16838"/>
          <w:pgMar w:top="1700" w:right="1133" w:bottom="1133" w:left="1700" w:header="720" w:footer="720" w:gutter="0"/>
          <w:cols w:space="720"/>
        </w:sectPr>
      </w:pPr>
      <w:r>
        <w:rPr>
          <w:sz w:val="24"/>
          <w:szCs w:val="24"/>
          <w:highlight w:val="white"/>
        </w:rPr>
        <w:tab/>
        <w:t xml:space="preserve">Atualmente, as transfusões só podem ocorrer após o resultado dos testes </w:t>
      </w:r>
      <w:proofErr w:type="spellStart"/>
      <w:r>
        <w:rPr>
          <w:sz w:val="24"/>
          <w:szCs w:val="24"/>
          <w:highlight w:val="white"/>
        </w:rPr>
        <w:t>imuno-hematológicos</w:t>
      </w:r>
      <w:proofErr w:type="spellEnd"/>
      <w:r>
        <w:rPr>
          <w:sz w:val="24"/>
          <w:szCs w:val="24"/>
          <w:highlight w:val="white"/>
        </w:rPr>
        <w:t xml:space="preserve"> e </w:t>
      </w:r>
      <w:r>
        <w:rPr>
          <w:sz w:val="24"/>
          <w:szCs w:val="24"/>
          <w:highlight w:val="white"/>
        </w:rPr>
        <w:t xml:space="preserve">sorológicos, chamados testes </w:t>
      </w:r>
      <w:proofErr w:type="spellStart"/>
      <w:r>
        <w:rPr>
          <w:sz w:val="24"/>
          <w:szCs w:val="24"/>
          <w:highlight w:val="white"/>
        </w:rPr>
        <w:t>pré</w:t>
      </w:r>
      <w:proofErr w:type="spellEnd"/>
      <w:r>
        <w:rPr>
          <w:sz w:val="24"/>
          <w:szCs w:val="24"/>
          <w:highlight w:val="white"/>
        </w:rPr>
        <w:t>-transfusionais. Essa etapa é muito importante, porque nesse momento é feita a prova de compatibilidade entre a bolsa do doador e a amostra do receptor (RODRIGUES et al., 2017). Portanto, o objetivo deste trabalho foi descre</w:t>
      </w:r>
      <w:r>
        <w:rPr>
          <w:sz w:val="24"/>
          <w:szCs w:val="24"/>
          <w:highlight w:val="white"/>
        </w:rPr>
        <w:t xml:space="preserve">ver os testes </w:t>
      </w:r>
      <w:proofErr w:type="spellStart"/>
      <w:r>
        <w:rPr>
          <w:sz w:val="24"/>
          <w:szCs w:val="24"/>
          <w:highlight w:val="white"/>
        </w:rPr>
        <w:t>pré</w:t>
      </w:r>
      <w:proofErr w:type="spellEnd"/>
      <w:r>
        <w:rPr>
          <w:sz w:val="24"/>
          <w:szCs w:val="24"/>
          <w:highlight w:val="white"/>
        </w:rPr>
        <w:t>-transfusionais, explicar as funções dos hemocomponentes, apresentar as reações transfusionais existentes e comparar os resultados dos testes com as reações ocorridas em pacientes de um Banco de Sangue num período de janeiro de 2018 a sete</w:t>
      </w:r>
      <w:r>
        <w:rPr>
          <w:sz w:val="24"/>
          <w:szCs w:val="24"/>
          <w:highlight w:val="white"/>
        </w:rPr>
        <w:t xml:space="preserve">mbro de 2021. </w:t>
      </w:r>
    </w:p>
    <w:p w:rsidR="000473E3" w:rsidRDefault="000473E3">
      <w:pPr>
        <w:spacing w:line="360" w:lineRule="auto"/>
        <w:rPr>
          <w:b/>
          <w:sz w:val="24"/>
          <w:szCs w:val="24"/>
        </w:rPr>
      </w:pPr>
    </w:p>
    <w:p w:rsidR="000473E3" w:rsidRDefault="00A651A6">
      <w:pPr>
        <w:spacing w:line="360" w:lineRule="auto"/>
        <w:rPr>
          <w:b/>
          <w:sz w:val="24"/>
          <w:szCs w:val="24"/>
        </w:rPr>
      </w:pPr>
      <w:r>
        <w:rPr>
          <w:b/>
          <w:sz w:val="24"/>
          <w:szCs w:val="24"/>
        </w:rPr>
        <w:t>PROCEDIMENTOS METODOLÓGICOS</w:t>
      </w:r>
    </w:p>
    <w:p w:rsidR="000473E3" w:rsidRDefault="000473E3">
      <w:pPr>
        <w:spacing w:line="360" w:lineRule="auto"/>
        <w:jc w:val="center"/>
        <w:rPr>
          <w:sz w:val="24"/>
          <w:szCs w:val="24"/>
        </w:rPr>
      </w:pPr>
    </w:p>
    <w:p w:rsidR="000473E3" w:rsidRDefault="00A651A6">
      <w:pPr>
        <w:spacing w:line="360" w:lineRule="auto"/>
        <w:jc w:val="both"/>
        <w:rPr>
          <w:b/>
          <w:sz w:val="24"/>
          <w:szCs w:val="24"/>
        </w:rPr>
      </w:pPr>
      <w:r>
        <w:rPr>
          <w:b/>
          <w:sz w:val="24"/>
          <w:szCs w:val="24"/>
        </w:rPr>
        <w:t>Tipo de pesquisa</w:t>
      </w:r>
    </w:p>
    <w:p w:rsidR="000473E3" w:rsidRDefault="00A651A6">
      <w:pPr>
        <w:spacing w:line="360" w:lineRule="auto"/>
        <w:jc w:val="both"/>
        <w:rPr>
          <w:sz w:val="24"/>
          <w:szCs w:val="24"/>
        </w:rPr>
      </w:pPr>
      <w:r>
        <w:rPr>
          <w:sz w:val="24"/>
          <w:szCs w:val="24"/>
        </w:rPr>
        <w:tab/>
      </w:r>
      <w:r>
        <w:rPr>
          <w:sz w:val="24"/>
          <w:szCs w:val="24"/>
        </w:rPr>
        <w:t xml:space="preserve">A pesquisa foi caracterizada como um estudo transversal com coleta de dados sobre as reações pós-transfusionais de pacientes da Hemoterapia do Vale do Taquari - </w:t>
      </w:r>
      <w:proofErr w:type="spellStart"/>
      <w:r>
        <w:rPr>
          <w:sz w:val="24"/>
          <w:szCs w:val="24"/>
        </w:rPr>
        <w:t>Hemovale</w:t>
      </w:r>
      <w:proofErr w:type="spellEnd"/>
      <w:r>
        <w:rPr>
          <w:sz w:val="24"/>
          <w:szCs w:val="24"/>
        </w:rPr>
        <w:t xml:space="preserve">, seguido de uma comparação com os resultados dos testes </w:t>
      </w:r>
      <w:proofErr w:type="spellStart"/>
      <w:r>
        <w:rPr>
          <w:sz w:val="24"/>
          <w:szCs w:val="24"/>
        </w:rPr>
        <w:t>pré</w:t>
      </w:r>
      <w:proofErr w:type="spellEnd"/>
      <w:r>
        <w:rPr>
          <w:sz w:val="24"/>
          <w:szCs w:val="24"/>
        </w:rPr>
        <w:t xml:space="preserve"> e pós-transfusionais desse</w:t>
      </w:r>
      <w:r>
        <w:rPr>
          <w:sz w:val="24"/>
          <w:szCs w:val="24"/>
        </w:rPr>
        <w:t xml:space="preserve">s pacientes. O estudo foi aprovado pelo Comitê de Ética em Pesquisa (COEP) da </w:t>
      </w:r>
      <w:proofErr w:type="spellStart"/>
      <w:r>
        <w:rPr>
          <w:sz w:val="24"/>
          <w:szCs w:val="24"/>
        </w:rPr>
        <w:t>Univates</w:t>
      </w:r>
      <w:proofErr w:type="spellEnd"/>
      <w:r>
        <w:rPr>
          <w:sz w:val="24"/>
          <w:szCs w:val="24"/>
        </w:rPr>
        <w:t xml:space="preserve"> sob parecer número 4.912.113.</w:t>
      </w:r>
    </w:p>
    <w:p w:rsidR="000473E3" w:rsidRDefault="000473E3">
      <w:pPr>
        <w:spacing w:line="360" w:lineRule="auto"/>
        <w:jc w:val="both"/>
        <w:rPr>
          <w:sz w:val="24"/>
          <w:szCs w:val="24"/>
        </w:rPr>
      </w:pPr>
    </w:p>
    <w:p w:rsidR="000473E3" w:rsidRDefault="00A651A6">
      <w:pPr>
        <w:spacing w:line="360" w:lineRule="auto"/>
        <w:jc w:val="both"/>
        <w:rPr>
          <w:sz w:val="24"/>
          <w:szCs w:val="24"/>
          <w:shd w:val="clear" w:color="auto" w:fill="D9EAD3"/>
        </w:rPr>
      </w:pPr>
      <w:r>
        <w:rPr>
          <w:b/>
          <w:sz w:val="24"/>
          <w:szCs w:val="24"/>
        </w:rPr>
        <w:t>População e coleta de dados</w:t>
      </w:r>
    </w:p>
    <w:p w:rsidR="000473E3" w:rsidRDefault="00A651A6">
      <w:pPr>
        <w:spacing w:line="360" w:lineRule="auto"/>
        <w:ind w:firstLine="720"/>
        <w:jc w:val="both"/>
        <w:rPr>
          <w:sz w:val="24"/>
          <w:szCs w:val="24"/>
        </w:rPr>
      </w:pPr>
      <w:r>
        <w:rPr>
          <w:sz w:val="24"/>
          <w:szCs w:val="24"/>
        </w:rPr>
        <w:t xml:space="preserve">Foram avaliados pacientes que realizaram transfusão sanguínea na Unidade de Hemoterapia do Vale do Taquari - </w:t>
      </w:r>
      <w:proofErr w:type="spellStart"/>
      <w:r>
        <w:rPr>
          <w:sz w:val="24"/>
          <w:szCs w:val="24"/>
        </w:rPr>
        <w:t>H</w:t>
      </w:r>
      <w:r>
        <w:rPr>
          <w:sz w:val="24"/>
          <w:szCs w:val="24"/>
        </w:rPr>
        <w:t>emovale</w:t>
      </w:r>
      <w:proofErr w:type="spellEnd"/>
      <w:r>
        <w:rPr>
          <w:sz w:val="24"/>
          <w:szCs w:val="24"/>
        </w:rPr>
        <w:t xml:space="preserve">, e tiveram alguma reação transfusional. O período foi de janeiro de 2018 até o mês de setembro de 2021. </w:t>
      </w:r>
    </w:p>
    <w:p w:rsidR="000473E3" w:rsidRDefault="00A651A6">
      <w:pPr>
        <w:spacing w:line="360" w:lineRule="auto"/>
        <w:jc w:val="both"/>
        <w:rPr>
          <w:sz w:val="24"/>
          <w:szCs w:val="24"/>
        </w:rPr>
      </w:pPr>
      <w:r>
        <w:rPr>
          <w:b/>
          <w:sz w:val="24"/>
          <w:szCs w:val="24"/>
        </w:rPr>
        <w:tab/>
      </w:r>
      <w:r>
        <w:rPr>
          <w:sz w:val="24"/>
          <w:szCs w:val="24"/>
        </w:rPr>
        <w:t xml:space="preserve">Os dados foram coletados por uma pesquisa feita no sistema utilizado no </w:t>
      </w:r>
      <w:proofErr w:type="spellStart"/>
      <w:r>
        <w:rPr>
          <w:sz w:val="24"/>
          <w:szCs w:val="24"/>
        </w:rPr>
        <w:t>Hemovale</w:t>
      </w:r>
      <w:proofErr w:type="spellEnd"/>
      <w:r>
        <w:rPr>
          <w:sz w:val="24"/>
          <w:szCs w:val="24"/>
        </w:rPr>
        <w:t xml:space="preserve"> - “</w:t>
      </w:r>
      <w:proofErr w:type="spellStart"/>
      <w:r>
        <w:rPr>
          <w:sz w:val="24"/>
          <w:szCs w:val="24"/>
        </w:rPr>
        <w:t>Realblood</w:t>
      </w:r>
      <w:proofErr w:type="spellEnd"/>
      <w:r>
        <w:rPr>
          <w:sz w:val="24"/>
          <w:szCs w:val="24"/>
        </w:rPr>
        <w:t xml:space="preserve"> - gerenciamento de hemocentros”. Foram coletados</w:t>
      </w:r>
      <w:r>
        <w:rPr>
          <w:sz w:val="24"/>
          <w:szCs w:val="24"/>
        </w:rPr>
        <w:t xml:space="preserve"> os seguintes dados: os resultados dos testes </w:t>
      </w:r>
      <w:proofErr w:type="spellStart"/>
      <w:r>
        <w:rPr>
          <w:sz w:val="24"/>
          <w:szCs w:val="24"/>
        </w:rPr>
        <w:t>pré</w:t>
      </w:r>
      <w:proofErr w:type="spellEnd"/>
      <w:r>
        <w:rPr>
          <w:sz w:val="24"/>
          <w:szCs w:val="24"/>
        </w:rPr>
        <w:t xml:space="preserve"> e pós-transfusionais, tipagem sanguínea ABO e Rh; pesquisa de anticorpos irregulares; prova de compatibilidade, </w:t>
      </w:r>
      <w:proofErr w:type="spellStart"/>
      <w:r>
        <w:rPr>
          <w:sz w:val="24"/>
          <w:szCs w:val="24"/>
        </w:rPr>
        <w:t>coombs</w:t>
      </w:r>
      <w:proofErr w:type="spellEnd"/>
      <w:r>
        <w:rPr>
          <w:sz w:val="24"/>
          <w:szCs w:val="24"/>
        </w:rPr>
        <w:t xml:space="preserve"> direto e </w:t>
      </w:r>
      <w:proofErr w:type="spellStart"/>
      <w:r>
        <w:rPr>
          <w:sz w:val="24"/>
          <w:szCs w:val="24"/>
        </w:rPr>
        <w:t>auto-controle</w:t>
      </w:r>
      <w:proofErr w:type="spellEnd"/>
      <w:r>
        <w:rPr>
          <w:sz w:val="24"/>
          <w:szCs w:val="24"/>
        </w:rPr>
        <w:t>; qual o hemocomponente utilizado; a data da notificação; o diagn</w:t>
      </w:r>
      <w:r>
        <w:rPr>
          <w:sz w:val="24"/>
          <w:szCs w:val="24"/>
        </w:rPr>
        <w:t xml:space="preserve">óstico clínico e a reação que o paciente apresentou. </w:t>
      </w:r>
    </w:p>
    <w:p w:rsidR="000473E3" w:rsidRDefault="000473E3">
      <w:pPr>
        <w:spacing w:line="360" w:lineRule="auto"/>
        <w:ind w:firstLine="720"/>
        <w:jc w:val="both"/>
        <w:rPr>
          <w:sz w:val="24"/>
          <w:szCs w:val="24"/>
        </w:rPr>
      </w:pPr>
    </w:p>
    <w:p w:rsidR="000473E3" w:rsidRDefault="00A651A6">
      <w:pPr>
        <w:spacing w:line="360" w:lineRule="auto"/>
        <w:jc w:val="both"/>
        <w:rPr>
          <w:b/>
          <w:sz w:val="24"/>
          <w:szCs w:val="24"/>
        </w:rPr>
      </w:pPr>
      <w:r>
        <w:rPr>
          <w:b/>
          <w:sz w:val="24"/>
          <w:szCs w:val="24"/>
        </w:rPr>
        <w:t>Critérios de inclusão e exclusão</w:t>
      </w:r>
    </w:p>
    <w:p w:rsidR="000473E3" w:rsidRDefault="00A651A6">
      <w:pPr>
        <w:spacing w:line="360" w:lineRule="auto"/>
        <w:jc w:val="both"/>
        <w:rPr>
          <w:b/>
          <w:sz w:val="24"/>
          <w:szCs w:val="24"/>
        </w:rPr>
      </w:pPr>
      <w:r>
        <w:rPr>
          <w:b/>
          <w:sz w:val="24"/>
          <w:szCs w:val="24"/>
        </w:rPr>
        <w:tab/>
      </w:r>
      <w:r>
        <w:rPr>
          <w:sz w:val="24"/>
          <w:szCs w:val="24"/>
        </w:rPr>
        <w:t xml:space="preserve">Foram incluídos todos os pacientes que necessitaram de alguma transfusão sanguínea, através da Hemoterapia do Vale do Taquari – </w:t>
      </w:r>
      <w:proofErr w:type="spellStart"/>
      <w:r>
        <w:rPr>
          <w:sz w:val="24"/>
          <w:szCs w:val="24"/>
        </w:rPr>
        <w:t>Hemovale</w:t>
      </w:r>
      <w:proofErr w:type="spellEnd"/>
      <w:r>
        <w:rPr>
          <w:sz w:val="24"/>
          <w:szCs w:val="24"/>
        </w:rPr>
        <w:t>, que apresentaram reação trans</w:t>
      </w:r>
      <w:r>
        <w:rPr>
          <w:sz w:val="24"/>
          <w:szCs w:val="24"/>
        </w:rPr>
        <w:t>fusional. Foram excluídos os pacientes que não apresentaram nenhuma das informações no prontuário.</w:t>
      </w:r>
    </w:p>
    <w:p w:rsidR="000473E3" w:rsidRDefault="000473E3">
      <w:pPr>
        <w:spacing w:line="360" w:lineRule="auto"/>
        <w:jc w:val="both"/>
        <w:rPr>
          <w:b/>
          <w:sz w:val="24"/>
          <w:szCs w:val="24"/>
        </w:rPr>
      </w:pPr>
    </w:p>
    <w:p w:rsidR="000473E3" w:rsidRDefault="000473E3">
      <w:pPr>
        <w:spacing w:line="360" w:lineRule="auto"/>
        <w:jc w:val="both"/>
        <w:rPr>
          <w:b/>
          <w:sz w:val="24"/>
          <w:szCs w:val="24"/>
        </w:rPr>
      </w:pPr>
    </w:p>
    <w:p w:rsidR="000473E3" w:rsidRDefault="000473E3">
      <w:pPr>
        <w:spacing w:line="360" w:lineRule="auto"/>
        <w:jc w:val="both"/>
        <w:rPr>
          <w:b/>
          <w:sz w:val="24"/>
          <w:szCs w:val="24"/>
        </w:rPr>
      </w:pPr>
    </w:p>
    <w:p w:rsidR="000473E3" w:rsidRDefault="00A651A6">
      <w:pPr>
        <w:spacing w:line="360" w:lineRule="auto"/>
        <w:jc w:val="both"/>
        <w:rPr>
          <w:b/>
          <w:sz w:val="24"/>
          <w:szCs w:val="24"/>
        </w:rPr>
      </w:pPr>
      <w:r>
        <w:rPr>
          <w:b/>
          <w:sz w:val="24"/>
          <w:szCs w:val="24"/>
        </w:rPr>
        <w:t>Análise de dados</w:t>
      </w:r>
    </w:p>
    <w:p w:rsidR="000473E3" w:rsidRDefault="00A651A6">
      <w:pPr>
        <w:spacing w:line="360" w:lineRule="auto"/>
        <w:ind w:firstLine="720"/>
        <w:jc w:val="both"/>
        <w:rPr>
          <w:sz w:val="24"/>
          <w:szCs w:val="24"/>
          <w:highlight w:val="white"/>
        </w:rPr>
      </w:pPr>
      <w:r>
        <w:rPr>
          <w:sz w:val="24"/>
          <w:szCs w:val="24"/>
          <w:highlight w:val="white"/>
        </w:rPr>
        <w:t>Os dados foram tabulados em tabelas Excel, e comparados os dados isolados de cada paciente. Além disso, os dados estão apresentados em fr</w:t>
      </w:r>
      <w:r>
        <w:rPr>
          <w:sz w:val="24"/>
          <w:szCs w:val="24"/>
          <w:highlight w:val="white"/>
        </w:rPr>
        <w:t xml:space="preserve">equências relativas e absolutas. </w:t>
      </w:r>
    </w:p>
    <w:p w:rsidR="000473E3" w:rsidRDefault="000473E3">
      <w:pPr>
        <w:spacing w:line="360" w:lineRule="auto"/>
        <w:jc w:val="center"/>
        <w:rPr>
          <w:b/>
          <w:sz w:val="24"/>
          <w:szCs w:val="24"/>
        </w:rPr>
      </w:pPr>
    </w:p>
    <w:p w:rsidR="000473E3" w:rsidRDefault="00A651A6">
      <w:pPr>
        <w:spacing w:line="360" w:lineRule="auto"/>
        <w:rPr>
          <w:b/>
          <w:sz w:val="24"/>
          <w:szCs w:val="24"/>
        </w:rPr>
      </w:pPr>
      <w:r>
        <w:rPr>
          <w:b/>
          <w:sz w:val="24"/>
          <w:szCs w:val="24"/>
        </w:rPr>
        <w:t>RESULTADOS</w:t>
      </w:r>
    </w:p>
    <w:p w:rsidR="000473E3" w:rsidRDefault="000473E3">
      <w:pPr>
        <w:spacing w:line="360" w:lineRule="auto"/>
        <w:rPr>
          <w:sz w:val="24"/>
          <w:szCs w:val="24"/>
        </w:rPr>
      </w:pPr>
    </w:p>
    <w:p w:rsidR="000473E3" w:rsidRDefault="00A651A6">
      <w:pPr>
        <w:spacing w:line="360" w:lineRule="auto"/>
        <w:ind w:firstLine="720"/>
        <w:jc w:val="both"/>
        <w:rPr>
          <w:sz w:val="24"/>
          <w:szCs w:val="24"/>
        </w:rPr>
      </w:pPr>
      <w:r>
        <w:rPr>
          <w:sz w:val="24"/>
          <w:szCs w:val="24"/>
        </w:rPr>
        <w:lastRenderedPageBreak/>
        <w:t xml:space="preserve">Foram avaliados os anos de 2018 a setembro de 2021, sendo que foram encontrados 66 casos de reações transfusionais neste período. Em relação aos dados anuais, em 2018 foram 12 casos, 2019 foram 14 casos, 2020 </w:t>
      </w:r>
      <w:r>
        <w:rPr>
          <w:sz w:val="24"/>
          <w:szCs w:val="24"/>
        </w:rPr>
        <w:t xml:space="preserve">foram 21 casos e 2021 foram 19 casos (Gráfico 1). </w:t>
      </w:r>
    </w:p>
    <w:p w:rsidR="000473E3" w:rsidRDefault="000473E3">
      <w:pPr>
        <w:spacing w:line="360" w:lineRule="auto"/>
        <w:rPr>
          <w:sz w:val="24"/>
          <w:szCs w:val="24"/>
        </w:rPr>
      </w:pPr>
    </w:p>
    <w:p w:rsidR="000473E3" w:rsidRDefault="00A651A6">
      <w:pPr>
        <w:spacing w:line="360" w:lineRule="auto"/>
        <w:rPr>
          <w:sz w:val="24"/>
          <w:szCs w:val="24"/>
        </w:rPr>
      </w:pPr>
      <w:r>
        <w:rPr>
          <w:sz w:val="24"/>
          <w:szCs w:val="24"/>
        </w:rPr>
        <w:t xml:space="preserve">Gráfico 1. Número de reações transfusionais </w:t>
      </w:r>
    </w:p>
    <w:p w:rsidR="000473E3" w:rsidRDefault="00A651A6">
      <w:pPr>
        <w:spacing w:line="360" w:lineRule="auto"/>
        <w:rPr>
          <w:sz w:val="24"/>
          <w:szCs w:val="24"/>
        </w:rPr>
      </w:pPr>
      <w:r>
        <w:rPr>
          <w:noProof/>
          <w:sz w:val="24"/>
          <w:szCs w:val="24"/>
        </w:rPr>
        <w:drawing>
          <wp:inline distT="114300" distB="114300" distL="114300" distR="114300">
            <wp:extent cx="4687388" cy="258430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687388" cy="2584301"/>
                    </a:xfrm>
                    <a:prstGeom prst="rect">
                      <a:avLst/>
                    </a:prstGeom>
                    <a:ln/>
                  </pic:spPr>
                </pic:pic>
              </a:graphicData>
            </a:graphic>
          </wp:inline>
        </w:drawing>
      </w:r>
    </w:p>
    <w:p w:rsidR="000473E3" w:rsidRDefault="00A651A6">
      <w:pPr>
        <w:spacing w:line="360" w:lineRule="auto"/>
        <w:rPr>
          <w:sz w:val="20"/>
          <w:szCs w:val="20"/>
        </w:rPr>
      </w:pPr>
      <w:r>
        <w:rPr>
          <w:sz w:val="20"/>
          <w:szCs w:val="20"/>
        </w:rPr>
        <w:t>Distribuição das reações transfusionais de forma mensal nos anos de 2018 a 2021.</w:t>
      </w:r>
    </w:p>
    <w:p w:rsidR="000473E3" w:rsidRDefault="000473E3">
      <w:pPr>
        <w:spacing w:line="360" w:lineRule="auto"/>
        <w:rPr>
          <w:sz w:val="24"/>
          <w:szCs w:val="24"/>
        </w:rPr>
      </w:pPr>
    </w:p>
    <w:p w:rsidR="000473E3" w:rsidRDefault="00A651A6">
      <w:pPr>
        <w:spacing w:line="360" w:lineRule="auto"/>
        <w:ind w:firstLine="720"/>
        <w:jc w:val="both"/>
        <w:rPr>
          <w:sz w:val="24"/>
          <w:szCs w:val="24"/>
        </w:rPr>
      </w:pPr>
      <w:r>
        <w:rPr>
          <w:sz w:val="24"/>
          <w:szCs w:val="24"/>
        </w:rPr>
        <w:t xml:space="preserve">Os tipos sanguíneos mais frequentes encontrados na pesquisa </w:t>
      </w:r>
      <w:r>
        <w:rPr>
          <w:sz w:val="24"/>
          <w:szCs w:val="24"/>
        </w:rPr>
        <w:t>foram A+ e O+, as causas mais frequentes de transfusões realizadas nesse período foram relacionadas a doenças oncológicas ou também a quadros de anemia e o hemocomponente mais transfundido foi o concentrado de hemácias (Tabela 1).</w:t>
      </w:r>
    </w:p>
    <w:p w:rsidR="000473E3" w:rsidRDefault="000473E3">
      <w:pPr>
        <w:spacing w:line="360" w:lineRule="auto"/>
        <w:jc w:val="both"/>
        <w:rPr>
          <w:sz w:val="24"/>
          <w:szCs w:val="24"/>
        </w:rPr>
      </w:pPr>
    </w:p>
    <w:p w:rsidR="000473E3" w:rsidRDefault="000473E3">
      <w:pPr>
        <w:spacing w:line="360" w:lineRule="auto"/>
        <w:jc w:val="both"/>
        <w:rPr>
          <w:sz w:val="24"/>
          <w:szCs w:val="24"/>
        </w:rPr>
      </w:pPr>
    </w:p>
    <w:p w:rsidR="000473E3" w:rsidRDefault="000473E3">
      <w:pPr>
        <w:spacing w:line="360" w:lineRule="auto"/>
        <w:jc w:val="both"/>
        <w:rPr>
          <w:sz w:val="24"/>
          <w:szCs w:val="24"/>
        </w:rPr>
      </w:pPr>
    </w:p>
    <w:p w:rsidR="000473E3" w:rsidRDefault="00A651A6">
      <w:pPr>
        <w:spacing w:line="360" w:lineRule="auto"/>
        <w:jc w:val="both"/>
        <w:rPr>
          <w:sz w:val="24"/>
          <w:szCs w:val="24"/>
        </w:rPr>
      </w:pPr>
      <w:r>
        <w:rPr>
          <w:sz w:val="24"/>
          <w:szCs w:val="24"/>
        </w:rPr>
        <w:t>Tabela 1. Perfil dos c</w:t>
      </w:r>
      <w:r>
        <w:rPr>
          <w:sz w:val="24"/>
          <w:szCs w:val="24"/>
        </w:rPr>
        <w:t>asos de reações transfusionais nos anos de 2018 a 2021.</w:t>
      </w:r>
    </w:p>
    <w:tbl>
      <w:tblPr>
        <w:tblStyle w:val="a3"/>
        <w:tblW w:w="5715" w:type="dxa"/>
        <w:tblInd w:w="0" w:type="dxa"/>
        <w:tblBorders>
          <w:top w:val="single" w:sz="4" w:space="0" w:color="000000"/>
          <w:bottom w:val="single" w:sz="4" w:space="0" w:color="000000"/>
        </w:tblBorders>
        <w:tblLayout w:type="fixed"/>
        <w:tblLook w:val="0600" w:firstRow="0" w:lastRow="0" w:firstColumn="0" w:lastColumn="0" w:noHBand="1" w:noVBand="1"/>
      </w:tblPr>
      <w:tblGrid>
        <w:gridCol w:w="4425"/>
        <w:gridCol w:w="570"/>
        <w:gridCol w:w="720"/>
      </w:tblGrid>
      <w:tr w:rsidR="000473E3">
        <w:tc>
          <w:tcPr>
            <w:tcW w:w="4425" w:type="dxa"/>
            <w:tcBorders>
              <w:top w:val="single" w:sz="4" w:space="0" w:color="000000"/>
              <w:bottom w:val="single" w:sz="4" w:space="0" w:color="000000"/>
            </w:tcBorders>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Tipagem sanguínea</w:t>
            </w:r>
          </w:p>
        </w:tc>
        <w:tc>
          <w:tcPr>
            <w:tcW w:w="570" w:type="dxa"/>
            <w:tcBorders>
              <w:top w:val="single" w:sz="4" w:space="0" w:color="000000"/>
              <w:bottom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 xml:space="preserve"> N</w:t>
            </w:r>
          </w:p>
        </w:tc>
        <w:tc>
          <w:tcPr>
            <w:tcW w:w="720" w:type="dxa"/>
            <w:tcBorders>
              <w:top w:val="single" w:sz="4" w:space="0" w:color="000000"/>
              <w:bottom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w:t>
            </w:r>
          </w:p>
        </w:tc>
      </w:tr>
      <w:tr w:rsidR="000473E3">
        <w:tc>
          <w:tcPr>
            <w:tcW w:w="4425" w:type="dxa"/>
            <w:tcBorders>
              <w:top w:val="single" w:sz="4" w:space="0" w:color="000000"/>
            </w:tcBorders>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A+</w:t>
            </w:r>
          </w:p>
        </w:tc>
        <w:tc>
          <w:tcPr>
            <w:tcW w:w="570" w:type="dxa"/>
            <w:tcBorders>
              <w:top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27</w:t>
            </w:r>
          </w:p>
        </w:tc>
        <w:tc>
          <w:tcPr>
            <w:tcW w:w="720" w:type="dxa"/>
            <w:tcBorders>
              <w:top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41</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A-</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4</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6</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B+</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8</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12</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B-</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0</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0</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AB+</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lastRenderedPageBreak/>
              <w:t>AB-</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0</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0</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O+</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21</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32</w:t>
            </w:r>
          </w:p>
        </w:tc>
      </w:tr>
      <w:tr w:rsidR="000473E3">
        <w:tc>
          <w:tcPr>
            <w:tcW w:w="4425" w:type="dxa"/>
            <w:tcBorders>
              <w:bottom w:val="single" w:sz="4" w:space="0" w:color="000000"/>
            </w:tcBorders>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O-</w:t>
            </w:r>
          </w:p>
        </w:tc>
        <w:tc>
          <w:tcPr>
            <w:tcW w:w="570" w:type="dxa"/>
            <w:tcBorders>
              <w:bottom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5</w:t>
            </w:r>
          </w:p>
        </w:tc>
        <w:tc>
          <w:tcPr>
            <w:tcW w:w="720" w:type="dxa"/>
            <w:tcBorders>
              <w:bottom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7,5</w:t>
            </w:r>
          </w:p>
        </w:tc>
      </w:tr>
      <w:tr w:rsidR="000473E3">
        <w:tc>
          <w:tcPr>
            <w:tcW w:w="4425" w:type="dxa"/>
            <w:tcBorders>
              <w:top w:val="single" w:sz="4" w:space="0" w:color="000000"/>
              <w:bottom w:val="single" w:sz="4" w:space="0" w:color="000000"/>
            </w:tcBorders>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Diagnóstico clínico</w:t>
            </w:r>
          </w:p>
        </w:tc>
        <w:tc>
          <w:tcPr>
            <w:tcW w:w="570" w:type="dxa"/>
            <w:tcBorders>
              <w:top w:val="single" w:sz="4" w:space="0" w:color="000000"/>
              <w:bottom w:val="single" w:sz="4" w:space="0" w:color="000000"/>
            </w:tcBorders>
            <w:tcMar>
              <w:top w:w="100" w:type="dxa"/>
              <w:left w:w="100" w:type="dxa"/>
              <w:bottom w:w="100" w:type="dxa"/>
              <w:right w:w="100" w:type="dxa"/>
            </w:tcMar>
          </w:tcPr>
          <w:p w:rsidR="000473E3" w:rsidRDefault="000473E3">
            <w:pPr>
              <w:widowControl w:val="0"/>
              <w:spacing w:line="240" w:lineRule="auto"/>
              <w:rPr>
                <w:b/>
                <w:sz w:val="24"/>
                <w:szCs w:val="24"/>
              </w:rPr>
            </w:pPr>
          </w:p>
        </w:tc>
        <w:tc>
          <w:tcPr>
            <w:tcW w:w="720" w:type="dxa"/>
            <w:tcBorders>
              <w:top w:val="single" w:sz="4" w:space="0" w:color="000000"/>
              <w:bottom w:val="single" w:sz="4" w:space="0" w:color="000000"/>
            </w:tcBorders>
            <w:tcMar>
              <w:top w:w="100" w:type="dxa"/>
              <w:left w:w="100" w:type="dxa"/>
              <w:bottom w:w="100" w:type="dxa"/>
              <w:right w:w="100" w:type="dxa"/>
            </w:tcMar>
          </w:tcPr>
          <w:p w:rsidR="000473E3" w:rsidRDefault="000473E3">
            <w:pPr>
              <w:widowControl w:val="0"/>
              <w:spacing w:line="240" w:lineRule="auto"/>
              <w:rPr>
                <w:sz w:val="24"/>
                <w:szCs w:val="24"/>
              </w:rPr>
            </w:pPr>
          </w:p>
        </w:tc>
      </w:tr>
      <w:tr w:rsidR="000473E3">
        <w:tc>
          <w:tcPr>
            <w:tcW w:w="4425" w:type="dxa"/>
            <w:tcBorders>
              <w:top w:val="single" w:sz="4" w:space="0" w:color="000000"/>
            </w:tcBorders>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Anemia</w:t>
            </w:r>
          </w:p>
        </w:tc>
        <w:tc>
          <w:tcPr>
            <w:tcW w:w="570" w:type="dxa"/>
            <w:tcBorders>
              <w:top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17</w:t>
            </w:r>
          </w:p>
        </w:tc>
        <w:tc>
          <w:tcPr>
            <w:tcW w:w="720" w:type="dxa"/>
            <w:tcBorders>
              <w:top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25,5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Doença oncológica (Tumor sólido)</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16</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24,5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 xml:space="preserve">Doença </w:t>
            </w:r>
            <w:proofErr w:type="spellStart"/>
            <w:r>
              <w:rPr>
                <w:i/>
                <w:sz w:val="24"/>
                <w:szCs w:val="24"/>
              </w:rPr>
              <w:t>oncohematológica</w:t>
            </w:r>
            <w:proofErr w:type="spellEnd"/>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20</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30,5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Pós-operatório</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6</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9</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proofErr w:type="spellStart"/>
            <w:r>
              <w:rPr>
                <w:i/>
                <w:sz w:val="24"/>
                <w:szCs w:val="24"/>
              </w:rPr>
              <w:t>Coagulopatia</w:t>
            </w:r>
            <w:proofErr w:type="spellEnd"/>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Trauma com hemorragia</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3</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4,5</w:t>
            </w:r>
          </w:p>
        </w:tc>
      </w:tr>
      <w:tr w:rsidR="000473E3">
        <w:tc>
          <w:tcPr>
            <w:tcW w:w="4425" w:type="dxa"/>
            <w:tcBorders>
              <w:bottom w:val="single" w:sz="4" w:space="0" w:color="000000"/>
            </w:tcBorders>
            <w:tcMar>
              <w:top w:w="100" w:type="dxa"/>
              <w:left w:w="100" w:type="dxa"/>
              <w:bottom w:w="100" w:type="dxa"/>
              <w:right w:w="100" w:type="dxa"/>
            </w:tcMar>
          </w:tcPr>
          <w:p w:rsidR="000473E3" w:rsidRDefault="00A651A6">
            <w:pPr>
              <w:widowControl w:val="0"/>
              <w:spacing w:line="240" w:lineRule="auto"/>
              <w:ind w:left="720"/>
              <w:rPr>
                <w:i/>
                <w:sz w:val="24"/>
                <w:szCs w:val="24"/>
              </w:rPr>
            </w:pPr>
            <w:proofErr w:type="spellStart"/>
            <w:r>
              <w:rPr>
                <w:i/>
                <w:sz w:val="24"/>
                <w:szCs w:val="24"/>
              </w:rPr>
              <w:t>Covid</w:t>
            </w:r>
            <w:proofErr w:type="spellEnd"/>
          </w:p>
        </w:tc>
        <w:tc>
          <w:tcPr>
            <w:tcW w:w="570" w:type="dxa"/>
            <w:tcBorders>
              <w:bottom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3</w:t>
            </w:r>
          </w:p>
        </w:tc>
        <w:tc>
          <w:tcPr>
            <w:tcW w:w="720" w:type="dxa"/>
            <w:tcBorders>
              <w:bottom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4,5</w:t>
            </w:r>
          </w:p>
        </w:tc>
      </w:tr>
      <w:tr w:rsidR="000473E3">
        <w:tc>
          <w:tcPr>
            <w:tcW w:w="4425" w:type="dxa"/>
            <w:tcBorders>
              <w:top w:val="single" w:sz="4" w:space="0" w:color="000000"/>
              <w:bottom w:val="single" w:sz="4" w:space="0" w:color="000000"/>
            </w:tcBorders>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Hemocomponente</w:t>
            </w:r>
          </w:p>
        </w:tc>
        <w:tc>
          <w:tcPr>
            <w:tcW w:w="570" w:type="dxa"/>
            <w:tcBorders>
              <w:top w:val="single" w:sz="4" w:space="0" w:color="000000"/>
              <w:bottom w:val="single" w:sz="4" w:space="0" w:color="000000"/>
            </w:tcBorders>
            <w:tcMar>
              <w:top w:w="100" w:type="dxa"/>
              <w:left w:w="100" w:type="dxa"/>
              <w:bottom w:w="100" w:type="dxa"/>
              <w:right w:w="100" w:type="dxa"/>
            </w:tcMar>
          </w:tcPr>
          <w:p w:rsidR="000473E3" w:rsidRDefault="000473E3">
            <w:pPr>
              <w:widowControl w:val="0"/>
              <w:spacing w:line="240" w:lineRule="auto"/>
              <w:rPr>
                <w:sz w:val="24"/>
                <w:szCs w:val="24"/>
              </w:rPr>
            </w:pPr>
          </w:p>
        </w:tc>
        <w:tc>
          <w:tcPr>
            <w:tcW w:w="720" w:type="dxa"/>
            <w:tcBorders>
              <w:top w:val="single" w:sz="4" w:space="0" w:color="000000"/>
              <w:bottom w:val="single" w:sz="4" w:space="0" w:color="000000"/>
            </w:tcBorders>
            <w:tcMar>
              <w:top w:w="100" w:type="dxa"/>
              <w:left w:w="100" w:type="dxa"/>
              <w:bottom w:w="100" w:type="dxa"/>
              <w:right w:w="100" w:type="dxa"/>
            </w:tcMar>
          </w:tcPr>
          <w:p w:rsidR="000473E3" w:rsidRDefault="000473E3">
            <w:pPr>
              <w:widowControl w:val="0"/>
              <w:spacing w:line="240" w:lineRule="auto"/>
              <w:rPr>
                <w:sz w:val="24"/>
                <w:szCs w:val="24"/>
              </w:rPr>
            </w:pPr>
          </w:p>
        </w:tc>
      </w:tr>
      <w:tr w:rsidR="000473E3">
        <w:tc>
          <w:tcPr>
            <w:tcW w:w="4425" w:type="dxa"/>
            <w:tcBorders>
              <w:top w:val="single" w:sz="4" w:space="0" w:color="000000"/>
            </w:tcBorders>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CHAD</w:t>
            </w:r>
          </w:p>
        </w:tc>
        <w:tc>
          <w:tcPr>
            <w:tcW w:w="570" w:type="dxa"/>
            <w:tcBorders>
              <w:top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49</w:t>
            </w:r>
          </w:p>
        </w:tc>
        <w:tc>
          <w:tcPr>
            <w:tcW w:w="720" w:type="dxa"/>
            <w:tcBorders>
              <w:top w:val="single" w:sz="4" w:space="0" w:color="000000"/>
            </w:tcBorders>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74,5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CHAD filtrado</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2</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3</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 xml:space="preserve">CHAD </w:t>
            </w:r>
            <w:proofErr w:type="spellStart"/>
            <w:r>
              <w:rPr>
                <w:i/>
                <w:sz w:val="24"/>
                <w:szCs w:val="24"/>
              </w:rPr>
              <w:t>desleucocitado</w:t>
            </w:r>
            <w:proofErr w:type="spellEnd"/>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Plaquetas</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10</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Plaquetas com filtro</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1,5</w:t>
            </w:r>
          </w:p>
        </w:tc>
      </w:tr>
      <w:tr w:rsidR="000473E3">
        <w:tc>
          <w:tcPr>
            <w:tcW w:w="4425" w:type="dxa"/>
            <w:tcMar>
              <w:top w:w="100" w:type="dxa"/>
              <w:left w:w="100" w:type="dxa"/>
              <w:bottom w:w="100" w:type="dxa"/>
              <w:right w:w="100" w:type="dxa"/>
            </w:tcMar>
          </w:tcPr>
          <w:p w:rsidR="000473E3" w:rsidRDefault="00A651A6">
            <w:pPr>
              <w:widowControl w:val="0"/>
              <w:spacing w:line="240" w:lineRule="auto"/>
              <w:ind w:left="720"/>
              <w:rPr>
                <w:i/>
                <w:sz w:val="24"/>
                <w:szCs w:val="24"/>
              </w:rPr>
            </w:pPr>
            <w:r>
              <w:rPr>
                <w:i/>
                <w:sz w:val="24"/>
                <w:szCs w:val="24"/>
              </w:rPr>
              <w:t>Plasma</w:t>
            </w:r>
          </w:p>
        </w:tc>
        <w:tc>
          <w:tcPr>
            <w:tcW w:w="57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3</w:t>
            </w:r>
          </w:p>
        </w:tc>
        <w:tc>
          <w:tcPr>
            <w:tcW w:w="720" w:type="dxa"/>
            <w:tcMar>
              <w:top w:w="100" w:type="dxa"/>
              <w:left w:w="100" w:type="dxa"/>
              <w:bottom w:w="100" w:type="dxa"/>
              <w:right w:w="100" w:type="dxa"/>
            </w:tcMar>
          </w:tcPr>
          <w:p w:rsidR="000473E3" w:rsidRDefault="00A651A6">
            <w:pPr>
              <w:widowControl w:val="0"/>
              <w:spacing w:line="240" w:lineRule="auto"/>
              <w:rPr>
                <w:sz w:val="24"/>
                <w:szCs w:val="24"/>
              </w:rPr>
            </w:pPr>
            <w:r>
              <w:rPr>
                <w:sz w:val="24"/>
                <w:szCs w:val="24"/>
              </w:rPr>
              <w:t>4,5</w:t>
            </w:r>
          </w:p>
        </w:tc>
      </w:tr>
    </w:tbl>
    <w:p w:rsidR="000473E3" w:rsidRDefault="000473E3">
      <w:pPr>
        <w:spacing w:line="360" w:lineRule="auto"/>
        <w:rPr>
          <w:sz w:val="24"/>
          <w:szCs w:val="24"/>
        </w:rPr>
      </w:pPr>
    </w:p>
    <w:p w:rsidR="000473E3" w:rsidRDefault="000473E3">
      <w:pPr>
        <w:spacing w:line="360" w:lineRule="auto"/>
        <w:ind w:firstLine="720"/>
        <w:jc w:val="both"/>
        <w:rPr>
          <w:sz w:val="24"/>
          <w:szCs w:val="24"/>
        </w:rPr>
      </w:pPr>
    </w:p>
    <w:p w:rsidR="000473E3" w:rsidRDefault="00A651A6">
      <w:pPr>
        <w:spacing w:line="360" w:lineRule="auto"/>
        <w:ind w:firstLine="720"/>
        <w:jc w:val="both"/>
        <w:rPr>
          <w:sz w:val="24"/>
          <w:szCs w:val="24"/>
        </w:rPr>
      </w:pPr>
      <w:r>
        <w:rPr>
          <w:sz w:val="24"/>
          <w:szCs w:val="24"/>
        </w:rPr>
        <w:t xml:space="preserve">O tipo sanguíneo mais encontrado na pesquisa foi o A positivo, sendo 27 (41%) pacientes. Já o A negativo foram só 6%, B positivo foram 12%, somente 1,5% era AB positivo, 32% </w:t>
      </w:r>
      <w:proofErr w:type="gramStart"/>
      <w:r>
        <w:rPr>
          <w:sz w:val="24"/>
          <w:szCs w:val="24"/>
        </w:rPr>
        <w:t>dos  pacientes</w:t>
      </w:r>
      <w:proofErr w:type="gramEnd"/>
      <w:r>
        <w:rPr>
          <w:sz w:val="24"/>
          <w:szCs w:val="24"/>
        </w:rPr>
        <w:t xml:space="preserve"> eram O positivo, 7,5% eram O negativo e não foram encontrados pacie</w:t>
      </w:r>
      <w:r>
        <w:rPr>
          <w:sz w:val="24"/>
          <w:szCs w:val="24"/>
        </w:rPr>
        <w:t xml:space="preserve">ntes de tipagem B negativo e AB negativos.  </w:t>
      </w:r>
      <w:r>
        <w:rPr>
          <w:sz w:val="24"/>
          <w:szCs w:val="24"/>
        </w:rPr>
        <w:tab/>
      </w:r>
    </w:p>
    <w:p w:rsidR="000473E3" w:rsidRDefault="00A651A6">
      <w:pPr>
        <w:spacing w:line="360" w:lineRule="auto"/>
        <w:ind w:firstLine="720"/>
        <w:jc w:val="both"/>
        <w:rPr>
          <w:sz w:val="24"/>
          <w:szCs w:val="24"/>
        </w:rPr>
      </w:pPr>
      <w:r>
        <w:rPr>
          <w:sz w:val="24"/>
          <w:szCs w:val="24"/>
        </w:rPr>
        <w:t xml:space="preserve">As reações transfusionais foram relatadas com sinais e sintomas diversos, tais como: febre, tremores, calafrios, dificuldade respiratória, eritema, pápulas, prurido, urticária, náusea, </w:t>
      </w:r>
      <w:proofErr w:type="gramStart"/>
      <w:r>
        <w:rPr>
          <w:sz w:val="24"/>
          <w:szCs w:val="24"/>
        </w:rPr>
        <w:t>mal estar</w:t>
      </w:r>
      <w:proofErr w:type="gramEnd"/>
      <w:r>
        <w:rPr>
          <w:sz w:val="24"/>
          <w:szCs w:val="24"/>
        </w:rPr>
        <w:t>, dispneia, taqu</w:t>
      </w:r>
      <w:r>
        <w:rPr>
          <w:sz w:val="24"/>
          <w:szCs w:val="24"/>
        </w:rPr>
        <w:t xml:space="preserve">ipneia, hipertensão, dor abdominal, entre outros. Todos os pacientes realizam testes </w:t>
      </w:r>
      <w:proofErr w:type="spellStart"/>
      <w:r>
        <w:rPr>
          <w:sz w:val="24"/>
          <w:szCs w:val="24"/>
        </w:rPr>
        <w:t>pré</w:t>
      </w:r>
      <w:proofErr w:type="spellEnd"/>
      <w:r>
        <w:rPr>
          <w:sz w:val="24"/>
          <w:szCs w:val="24"/>
        </w:rPr>
        <w:t xml:space="preserve"> e pós transfusionais como </w:t>
      </w:r>
      <w:proofErr w:type="spellStart"/>
      <w:r>
        <w:rPr>
          <w:sz w:val="24"/>
          <w:szCs w:val="24"/>
        </w:rPr>
        <w:t>coombs</w:t>
      </w:r>
      <w:proofErr w:type="spellEnd"/>
      <w:r>
        <w:rPr>
          <w:sz w:val="24"/>
          <w:szCs w:val="24"/>
        </w:rPr>
        <w:t xml:space="preserve"> direto, prova de compatibilidade e pesquisa de anticorpos irregulares ou também denominado </w:t>
      </w:r>
      <w:proofErr w:type="spellStart"/>
      <w:r>
        <w:rPr>
          <w:sz w:val="24"/>
          <w:szCs w:val="24"/>
        </w:rPr>
        <w:t>coombs</w:t>
      </w:r>
      <w:proofErr w:type="spellEnd"/>
      <w:r>
        <w:rPr>
          <w:sz w:val="24"/>
          <w:szCs w:val="24"/>
        </w:rPr>
        <w:t xml:space="preserve"> indireto (Tabela 2).</w:t>
      </w:r>
    </w:p>
    <w:p w:rsidR="000473E3" w:rsidRDefault="000473E3">
      <w:pPr>
        <w:spacing w:line="360" w:lineRule="auto"/>
        <w:ind w:firstLine="720"/>
        <w:jc w:val="both"/>
        <w:rPr>
          <w:sz w:val="24"/>
          <w:szCs w:val="24"/>
        </w:rPr>
      </w:pPr>
    </w:p>
    <w:p w:rsidR="000473E3" w:rsidRDefault="00A651A6">
      <w:pPr>
        <w:spacing w:line="360" w:lineRule="auto"/>
        <w:jc w:val="both"/>
        <w:rPr>
          <w:sz w:val="24"/>
          <w:szCs w:val="24"/>
        </w:rPr>
      </w:pPr>
      <w:r>
        <w:rPr>
          <w:sz w:val="24"/>
          <w:szCs w:val="24"/>
        </w:rPr>
        <w:t>Gráfico 2. Tip</w:t>
      </w:r>
      <w:r>
        <w:rPr>
          <w:sz w:val="24"/>
          <w:szCs w:val="24"/>
        </w:rPr>
        <w:t>agens receptores</w:t>
      </w:r>
      <w:r>
        <w:rPr>
          <w:noProof/>
        </w:rPr>
        <w:drawing>
          <wp:anchor distT="114300" distB="114300" distL="114300" distR="114300" simplePos="0" relativeHeight="251659264" behindDoc="0" locked="0" layoutInCell="1" hidden="0" allowOverlap="1">
            <wp:simplePos x="0" y="0"/>
            <wp:positionH relativeFrom="column">
              <wp:posOffset>1</wp:posOffset>
            </wp:positionH>
            <wp:positionV relativeFrom="paragraph">
              <wp:posOffset>371475</wp:posOffset>
            </wp:positionV>
            <wp:extent cx="5454650" cy="3124200"/>
            <wp:effectExtent l="0" t="0" r="0" b="0"/>
            <wp:wrapSquare wrapText="bothSides" distT="114300" distB="114300" distL="114300" distR="114300"/>
            <wp:docPr id="4" name="image1.png" descr="Gráfico"/>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a:blip r:embed="rId12"/>
                    <a:srcRect l="2589" t="11974" r="2701"/>
                    <a:stretch>
                      <a:fillRect/>
                    </a:stretch>
                  </pic:blipFill>
                  <pic:spPr>
                    <a:xfrm>
                      <a:off x="0" y="0"/>
                      <a:ext cx="5454650" cy="3124200"/>
                    </a:xfrm>
                    <a:prstGeom prst="rect">
                      <a:avLst/>
                    </a:prstGeom>
                    <a:ln/>
                  </pic:spPr>
                </pic:pic>
              </a:graphicData>
            </a:graphic>
          </wp:anchor>
        </w:drawing>
      </w:r>
    </w:p>
    <w:p w:rsidR="000473E3" w:rsidRDefault="00A651A6">
      <w:pPr>
        <w:spacing w:line="360" w:lineRule="auto"/>
        <w:jc w:val="both"/>
        <w:rPr>
          <w:sz w:val="24"/>
          <w:szCs w:val="24"/>
        </w:rPr>
      </w:pPr>
      <w:r>
        <w:rPr>
          <w:sz w:val="20"/>
          <w:szCs w:val="20"/>
        </w:rPr>
        <w:t xml:space="preserve">Frequência de tipagens A e O positivos em pacientes que necessitaram de transfusão sanguínea no </w:t>
      </w:r>
      <w:proofErr w:type="spellStart"/>
      <w:r>
        <w:rPr>
          <w:sz w:val="20"/>
          <w:szCs w:val="20"/>
        </w:rPr>
        <w:t>Hemovale</w:t>
      </w:r>
      <w:proofErr w:type="spellEnd"/>
      <w:r>
        <w:rPr>
          <w:sz w:val="20"/>
          <w:szCs w:val="20"/>
        </w:rPr>
        <w:t>.</w:t>
      </w:r>
    </w:p>
    <w:p w:rsidR="000473E3" w:rsidRDefault="000473E3">
      <w:pPr>
        <w:spacing w:line="360" w:lineRule="auto"/>
        <w:ind w:firstLine="720"/>
        <w:jc w:val="both"/>
        <w:rPr>
          <w:sz w:val="24"/>
          <w:szCs w:val="24"/>
        </w:rPr>
      </w:pPr>
    </w:p>
    <w:p w:rsidR="000473E3" w:rsidRDefault="000473E3">
      <w:pPr>
        <w:spacing w:line="360" w:lineRule="auto"/>
        <w:jc w:val="both"/>
        <w:rPr>
          <w:sz w:val="24"/>
          <w:szCs w:val="24"/>
        </w:rPr>
      </w:pPr>
    </w:p>
    <w:p w:rsidR="000473E3" w:rsidRDefault="000473E3">
      <w:pPr>
        <w:spacing w:line="360" w:lineRule="auto"/>
        <w:jc w:val="both"/>
        <w:rPr>
          <w:sz w:val="24"/>
          <w:szCs w:val="24"/>
        </w:rPr>
      </w:pPr>
    </w:p>
    <w:p w:rsidR="000473E3" w:rsidRDefault="000473E3">
      <w:pPr>
        <w:spacing w:line="360" w:lineRule="auto"/>
        <w:jc w:val="both"/>
        <w:rPr>
          <w:sz w:val="24"/>
          <w:szCs w:val="24"/>
        </w:rPr>
      </w:pPr>
    </w:p>
    <w:p w:rsidR="000473E3" w:rsidRDefault="000473E3">
      <w:pPr>
        <w:spacing w:line="360" w:lineRule="auto"/>
        <w:jc w:val="both"/>
        <w:rPr>
          <w:sz w:val="24"/>
          <w:szCs w:val="24"/>
        </w:rPr>
      </w:pPr>
    </w:p>
    <w:p w:rsidR="000473E3" w:rsidRDefault="00A651A6">
      <w:pPr>
        <w:spacing w:line="360" w:lineRule="auto"/>
        <w:jc w:val="both"/>
        <w:rPr>
          <w:sz w:val="24"/>
          <w:szCs w:val="24"/>
        </w:rPr>
      </w:pPr>
      <w:r>
        <w:rPr>
          <w:sz w:val="24"/>
          <w:szCs w:val="24"/>
        </w:rPr>
        <w:t xml:space="preserve">Tabela 2. Resultados de testes </w:t>
      </w:r>
      <w:proofErr w:type="spellStart"/>
      <w:r>
        <w:rPr>
          <w:sz w:val="24"/>
          <w:szCs w:val="24"/>
        </w:rPr>
        <w:t>pré</w:t>
      </w:r>
      <w:proofErr w:type="spellEnd"/>
      <w:r>
        <w:rPr>
          <w:sz w:val="24"/>
          <w:szCs w:val="24"/>
        </w:rPr>
        <w:t xml:space="preserve"> e pós transfusionais de pacientes com reações pós transfusionais</w:t>
      </w:r>
    </w:p>
    <w:p w:rsidR="000473E3" w:rsidRDefault="000473E3">
      <w:pPr>
        <w:spacing w:line="360" w:lineRule="auto"/>
        <w:jc w:val="both"/>
        <w:rPr>
          <w:sz w:val="24"/>
          <w:szCs w:val="24"/>
        </w:rPr>
      </w:pPr>
    </w:p>
    <w:tbl>
      <w:tblPr>
        <w:tblStyle w:val="a4"/>
        <w:tblW w:w="9270" w:type="dxa"/>
        <w:tblInd w:w="0" w:type="dxa"/>
        <w:tblLayout w:type="fixed"/>
        <w:tblLook w:val="0600" w:firstRow="0" w:lastRow="0" w:firstColumn="0" w:lastColumn="0" w:noHBand="1" w:noVBand="1"/>
      </w:tblPr>
      <w:tblGrid>
        <w:gridCol w:w="2704"/>
        <w:gridCol w:w="1437"/>
        <w:gridCol w:w="1484"/>
        <w:gridCol w:w="2205"/>
        <w:gridCol w:w="1440"/>
      </w:tblGrid>
      <w:tr w:rsidR="000473E3">
        <w:tc>
          <w:tcPr>
            <w:tcW w:w="9270" w:type="dxa"/>
            <w:gridSpan w:val="5"/>
            <w:tcBorders>
              <w:top w:val="single" w:sz="4" w:space="0" w:color="000000"/>
              <w:bottom w:val="single" w:sz="4" w:space="0" w:color="000000"/>
            </w:tcBorders>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PRÉ-TRANSFUSIONAL</w:t>
            </w:r>
          </w:p>
        </w:tc>
      </w:tr>
      <w:tr w:rsidR="000473E3">
        <w:tc>
          <w:tcPr>
            <w:tcW w:w="2704"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Resultado</w:t>
            </w:r>
          </w:p>
        </w:tc>
        <w:tc>
          <w:tcPr>
            <w:tcW w:w="1437"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Auto controle</w:t>
            </w:r>
          </w:p>
        </w:tc>
        <w:tc>
          <w:tcPr>
            <w:tcW w:w="1484"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proofErr w:type="spellStart"/>
            <w:proofErr w:type="gramStart"/>
            <w:r>
              <w:rPr>
                <w:b/>
                <w:sz w:val="24"/>
                <w:szCs w:val="24"/>
              </w:rPr>
              <w:t>Coombs</w:t>
            </w:r>
            <w:proofErr w:type="spellEnd"/>
            <w:r>
              <w:rPr>
                <w:b/>
                <w:sz w:val="24"/>
                <w:szCs w:val="24"/>
              </w:rPr>
              <w:t xml:space="preserve"> Direto</w:t>
            </w:r>
            <w:proofErr w:type="gramEnd"/>
          </w:p>
        </w:tc>
        <w:tc>
          <w:tcPr>
            <w:tcW w:w="2205"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Prova de compatibilidade</w:t>
            </w:r>
          </w:p>
        </w:tc>
        <w:tc>
          <w:tcPr>
            <w:tcW w:w="1440"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P.</w:t>
            </w:r>
            <w:proofErr w:type="gramStart"/>
            <w:r>
              <w:rPr>
                <w:b/>
                <w:sz w:val="24"/>
                <w:szCs w:val="24"/>
              </w:rPr>
              <w:t>A.I</w:t>
            </w:r>
            <w:proofErr w:type="gramEnd"/>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Positivo/Compatível</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 (3%)</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 (3%)</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53 (80,4%)</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 (3%)</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1+</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2+</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3+</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4+</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2(3%)</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lastRenderedPageBreak/>
              <w:t>Negativo/não compatível/0</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61(92,5%)</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NR (não realizado)</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61(92,5%)</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61(92,5%)</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11(16,6%)</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Ignorado</w:t>
            </w:r>
          </w:p>
        </w:tc>
        <w:tc>
          <w:tcPr>
            <w:tcW w:w="1437"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2205"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1440"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9270" w:type="dxa"/>
            <w:gridSpan w:val="5"/>
            <w:tcBorders>
              <w:top w:val="single" w:sz="4" w:space="0" w:color="000000"/>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POS-TRANSFUSIONAL</w:t>
            </w:r>
          </w:p>
        </w:tc>
      </w:tr>
      <w:tr w:rsidR="000473E3">
        <w:tc>
          <w:tcPr>
            <w:tcW w:w="2704" w:type="dxa"/>
            <w:tcBorders>
              <w:top w:val="single" w:sz="4" w:space="0" w:color="000000"/>
            </w:tcBorders>
            <w:shd w:val="clear" w:color="auto" w:fill="auto"/>
            <w:tcMar>
              <w:top w:w="100" w:type="dxa"/>
              <w:left w:w="100" w:type="dxa"/>
              <w:bottom w:w="100" w:type="dxa"/>
              <w:right w:w="100" w:type="dxa"/>
            </w:tcMar>
          </w:tcPr>
          <w:p w:rsidR="000473E3" w:rsidRDefault="000473E3">
            <w:pPr>
              <w:widowControl w:val="0"/>
              <w:spacing w:line="240" w:lineRule="auto"/>
              <w:rPr>
                <w:sz w:val="24"/>
                <w:szCs w:val="24"/>
              </w:rPr>
            </w:pPr>
          </w:p>
        </w:tc>
        <w:tc>
          <w:tcPr>
            <w:tcW w:w="1437"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Auto controle</w:t>
            </w:r>
          </w:p>
        </w:tc>
        <w:tc>
          <w:tcPr>
            <w:tcW w:w="1484"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proofErr w:type="spellStart"/>
            <w:proofErr w:type="gramStart"/>
            <w:r>
              <w:rPr>
                <w:b/>
                <w:sz w:val="24"/>
                <w:szCs w:val="24"/>
              </w:rPr>
              <w:t>Coombs</w:t>
            </w:r>
            <w:proofErr w:type="spellEnd"/>
            <w:r>
              <w:rPr>
                <w:b/>
                <w:sz w:val="24"/>
                <w:szCs w:val="24"/>
              </w:rPr>
              <w:t xml:space="preserve"> Direto</w:t>
            </w:r>
            <w:proofErr w:type="gramEnd"/>
          </w:p>
        </w:tc>
        <w:tc>
          <w:tcPr>
            <w:tcW w:w="2205"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Prova de compatibilidade</w:t>
            </w:r>
          </w:p>
        </w:tc>
        <w:tc>
          <w:tcPr>
            <w:tcW w:w="1440" w:type="dxa"/>
            <w:tcBorders>
              <w:top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b/>
                <w:sz w:val="24"/>
                <w:szCs w:val="24"/>
              </w:rPr>
            </w:pPr>
            <w:r>
              <w:rPr>
                <w:b/>
                <w:sz w:val="24"/>
                <w:szCs w:val="24"/>
              </w:rPr>
              <w:t>P.</w:t>
            </w:r>
            <w:proofErr w:type="gramStart"/>
            <w:r>
              <w:rPr>
                <w:b/>
                <w:sz w:val="24"/>
                <w:szCs w:val="24"/>
              </w:rPr>
              <w:t>A.I</w:t>
            </w:r>
            <w:proofErr w:type="gramEnd"/>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Positivo/Compatível</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9(13,6%)</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9(13,6%)</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42(63,7%)</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2(3%)</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1+</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2(3%)</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2(3%)</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2+</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3+</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ind w:left="720"/>
              <w:rPr>
                <w:b/>
                <w:sz w:val="24"/>
                <w:szCs w:val="24"/>
              </w:rPr>
            </w:pPr>
            <w:r>
              <w:rPr>
                <w:b/>
                <w:sz w:val="24"/>
                <w:szCs w:val="24"/>
              </w:rPr>
              <w:t>4+</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Negativo/não compatível/0</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39(59%)</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39(59,2%)</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49(74,3%)</w:t>
            </w:r>
          </w:p>
        </w:tc>
      </w:tr>
      <w:tr w:rsidR="000473E3">
        <w:tc>
          <w:tcPr>
            <w:tcW w:w="2704" w:type="dxa"/>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NR</w:t>
            </w:r>
          </w:p>
        </w:tc>
        <w:tc>
          <w:tcPr>
            <w:tcW w:w="1437"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16(24,4%)</w:t>
            </w:r>
          </w:p>
        </w:tc>
        <w:tc>
          <w:tcPr>
            <w:tcW w:w="1484"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15(22,7%)</w:t>
            </w:r>
          </w:p>
        </w:tc>
        <w:tc>
          <w:tcPr>
            <w:tcW w:w="2205"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23(34,8%)</w:t>
            </w:r>
          </w:p>
        </w:tc>
        <w:tc>
          <w:tcPr>
            <w:tcW w:w="1440" w:type="dxa"/>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15(22,7%)</w:t>
            </w:r>
          </w:p>
        </w:tc>
      </w:tr>
      <w:tr w:rsidR="000473E3">
        <w:tc>
          <w:tcPr>
            <w:tcW w:w="2704"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rPr>
                <w:b/>
                <w:sz w:val="24"/>
                <w:szCs w:val="24"/>
              </w:rPr>
            </w:pPr>
            <w:r>
              <w:rPr>
                <w:b/>
                <w:sz w:val="24"/>
                <w:szCs w:val="24"/>
              </w:rPr>
              <w:t>Ignorado</w:t>
            </w:r>
          </w:p>
        </w:tc>
        <w:tc>
          <w:tcPr>
            <w:tcW w:w="1437"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1484"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c>
          <w:tcPr>
            <w:tcW w:w="2205"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1(1,5%)</w:t>
            </w:r>
          </w:p>
        </w:tc>
        <w:tc>
          <w:tcPr>
            <w:tcW w:w="1440" w:type="dxa"/>
            <w:tcBorders>
              <w:bottom w:val="single" w:sz="4" w:space="0" w:color="000000"/>
            </w:tcBorders>
            <w:shd w:val="clear" w:color="auto" w:fill="auto"/>
            <w:tcMar>
              <w:top w:w="100" w:type="dxa"/>
              <w:left w:w="100" w:type="dxa"/>
              <w:bottom w:w="100" w:type="dxa"/>
              <w:right w:w="100" w:type="dxa"/>
            </w:tcMar>
          </w:tcPr>
          <w:p w:rsidR="000473E3" w:rsidRDefault="00A651A6">
            <w:pPr>
              <w:widowControl w:val="0"/>
              <w:spacing w:line="240" w:lineRule="auto"/>
              <w:jc w:val="center"/>
              <w:rPr>
                <w:sz w:val="24"/>
                <w:szCs w:val="24"/>
              </w:rPr>
            </w:pPr>
            <w:r>
              <w:rPr>
                <w:sz w:val="24"/>
                <w:szCs w:val="24"/>
              </w:rPr>
              <w:t>0</w:t>
            </w:r>
          </w:p>
        </w:tc>
      </w:tr>
    </w:tbl>
    <w:p w:rsidR="000473E3" w:rsidRDefault="00A651A6">
      <w:pPr>
        <w:spacing w:line="360" w:lineRule="auto"/>
        <w:jc w:val="both"/>
        <w:rPr>
          <w:sz w:val="20"/>
          <w:szCs w:val="20"/>
        </w:rPr>
      </w:pPr>
      <w:r>
        <w:rPr>
          <w:sz w:val="20"/>
          <w:szCs w:val="20"/>
        </w:rPr>
        <w:t>P.A.I. = Pesquisa de anticorpos irregulares (</w:t>
      </w:r>
      <w:proofErr w:type="spellStart"/>
      <w:r>
        <w:rPr>
          <w:sz w:val="20"/>
          <w:szCs w:val="20"/>
        </w:rPr>
        <w:t>Coombs</w:t>
      </w:r>
      <w:proofErr w:type="spellEnd"/>
      <w:r>
        <w:rPr>
          <w:sz w:val="20"/>
          <w:szCs w:val="20"/>
        </w:rPr>
        <w:t xml:space="preserve"> indireto)</w:t>
      </w:r>
    </w:p>
    <w:p w:rsidR="000473E3" w:rsidRDefault="000473E3">
      <w:pPr>
        <w:spacing w:line="360" w:lineRule="auto"/>
        <w:ind w:firstLine="720"/>
        <w:jc w:val="both"/>
        <w:rPr>
          <w:sz w:val="24"/>
          <w:szCs w:val="24"/>
          <w:highlight w:val="white"/>
        </w:rPr>
      </w:pPr>
    </w:p>
    <w:p w:rsidR="000473E3" w:rsidRDefault="000473E3">
      <w:pPr>
        <w:spacing w:line="360" w:lineRule="auto"/>
        <w:jc w:val="both"/>
        <w:rPr>
          <w:sz w:val="24"/>
          <w:szCs w:val="24"/>
          <w:highlight w:val="white"/>
        </w:rPr>
      </w:pPr>
    </w:p>
    <w:p w:rsidR="000473E3" w:rsidRDefault="00A651A6">
      <w:pPr>
        <w:spacing w:after="120" w:line="360" w:lineRule="auto"/>
        <w:jc w:val="both"/>
        <w:rPr>
          <w:sz w:val="24"/>
          <w:szCs w:val="24"/>
        </w:rPr>
      </w:pPr>
      <w:r>
        <w:rPr>
          <w:b/>
          <w:sz w:val="24"/>
          <w:szCs w:val="24"/>
        </w:rPr>
        <w:tab/>
      </w:r>
      <w:r>
        <w:rPr>
          <w:sz w:val="24"/>
          <w:szCs w:val="24"/>
        </w:rPr>
        <w:t xml:space="preserve">Dos exames </w:t>
      </w:r>
      <w:proofErr w:type="spellStart"/>
      <w:r>
        <w:rPr>
          <w:sz w:val="24"/>
          <w:szCs w:val="24"/>
        </w:rPr>
        <w:t>pré</w:t>
      </w:r>
      <w:proofErr w:type="spellEnd"/>
      <w:r>
        <w:rPr>
          <w:sz w:val="24"/>
          <w:szCs w:val="24"/>
        </w:rPr>
        <w:t xml:space="preserve">-transfusionais, no auto controle 5 (7,5%) deram positivo e o restante 61 (92,5%) não realizaram o exame, no </w:t>
      </w:r>
      <w:proofErr w:type="spellStart"/>
      <w:r>
        <w:rPr>
          <w:sz w:val="24"/>
          <w:szCs w:val="24"/>
        </w:rPr>
        <w:t>coombs</w:t>
      </w:r>
      <w:proofErr w:type="spellEnd"/>
      <w:r>
        <w:rPr>
          <w:sz w:val="24"/>
          <w:szCs w:val="24"/>
        </w:rPr>
        <w:t xml:space="preserve"> direto também deram 5 (7,5%) positivos e 61 (92,5%) não realizaram o exame, na prova de compatibilidade, 53 (80,4%) deram posi</w:t>
      </w:r>
      <w:r>
        <w:rPr>
          <w:sz w:val="24"/>
          <w:szCs w:val="24"/>
        </w:rPr>
        <w:t>tivos, 1 (1,5%) negativo, 1(1,5%) ignorado e 11 (16,6%) não realizaram o exame, e no PAI foram 5 (7,5%) positivos e 61 (92,5%) negativos.</w:t>
      </w:r>
    </w:p>
    <w:p w:rsidR="000473E3" w:rsidRDefault="00A651A6">
      <w:pPr>
        <w:spacing w:after="120" w:line="360" w:lineRule="auto"/>
        <w:ind w:firstLine="720"/>
        <w:jc w:val="both"/>
        <w:rPr>
          <w:b/>
          <w:sz w:val="24"/>
          <w:szCs w:val="24"/>
        </w:rPr>
      </w:pPr>
      <w:r>
        <w:rPr>
          <w:sz w:val="24"/>
          <w:szCs w:val="24"/>
        </w:rPr>
        <w:t>Nos exames pós-transfusionais, o auto controle apresentou 11 (16,6%) positivos, 39 (59%) negativos e 16 (24,4%) não re</w:t>
      </w:r>
      <w:r>
        <w:rPr>
          <w:sz w:val="24"/>
          <w:szCs w:val="24"/>
        </w:rPr>
        <w:t xml:space="preserve">alizaram o exame. No exame de </w:t>
      </w:r>
      <w:proofErr w:type="spellStart"/>
      <w:r>
        <w:rPr>
          <w:sz w:val="24"/>
          <w:szCs w:val="24"/>
        </w:rPr>
        <w:t>coombs</w:t>
      </w:r>
      <w:proofErr w:type="spellEnd"/>
      <w:r>
        <w:rPr>
          <w:sz w:val="24"/>
          <w:szCs w:val="24"/>
        </w:rPr>
        <w:t xml:space="preserve"> direto 12 (18,1) deram positivos, 39 (59,2%) negativos e 15 (22,7%) não realizaram o exame. A prova de compatibilidade 42 (63,7%) deram positivo, 23 (34,8%) não realizaram o exame e 1 (1,5%) foi ignorado. Por fim, o PAI</w:t>
      </w:r>
      <w:r>
        <w:rPr>
          <w:sz w:val="24"/>
          <w:szCs w:val="24"/>
        </w:rPr>
        <w:t xml:space="preserve"> apresentou 2 (3%) positivos, 49 (74,3%) negativos e 15 (22,7%) não realizaram o exame.  </w:t>
      </w:r>
    </w:p>
    <w:p w:rsidR="000473E3" w:rsidRDefault="000473E3">
      <w:pPr>
        <w:spacing w:line="360" w:lineRule="auto"/>
        <w:rPr>
          <w:b/>
          <w:sz w:val="24"/>
          <w:szCs w:val="24"/>
        </w:rPr>
      </w:pPr>
    </w:p>
    <w:p w:rsidR="000473E3" w:rsidRDefault="00A651A6">
      <w:pPr>
        <w:spacing w:line="360" w:lineRule="auto"/>
        <w:rPr>
          <w:b/>
          <w:sz w:val="24"/>
          <w:szCs w:val="24"/>
        </w:rPr>
        <w:sectPr w:rsidR="000473E3">
          <w:type w:val="continuous"/>
          <w:pgSz w:w="11906" w:h="16838"/>
          <w:pgMar w:top="1700" w:right="1133" w:bottom="1133" w:left="1700" w:header="720" w:footer="720" w:gutter="0"/>
          <w:cols w:space="720"/>
        </w:sectPr>
      </w:pPr>
      <w:r>
        <w:rPr>
          <w:b/>
          <w:sz w:val="24"/>
          <w:szCs w:val="24"/>
        </w:rPr>
        <w:t>DISCUSSÃO</w:t>
      </w:r>
    </w:p>
    <w:p w:rsidR="000473E3" w:rsidRDefault="000473E3">
      <w:pPr>
        <w:spacing w:line="360" w:lineRule="auto"/>
        <w:jc w:val="both"/>
        <w:rPr>
          <w:b/>
          <w:sz w:val="24"/>
          <w:szCs w:val="24"/>
        </w:rPr>
      </w:pPr>
    </w:p>
    <w:p w:rsidR="000473E3" w:rsidRDefault="00A651A6">
      <w:pPr>
        <w:spacing w:line="360" w:lineRule="auto"/>
        <w:jc w:val="both"/>
        <w:rPr>
          <w:b/>
          <w:sz w:val="24"/>
          <w:szCs w:val="24"/>
        </w:rPr>
      </w:pPr>
      <w:r>
        <w:rPr>
          <w:b/>
          <w:sz w:val="24"/>
          <w:szCs w:val="24"/>
        </w:rPr>
        <w:t>Tipos sanguíneos</w:t>
      </w:r>
    </w:p>
    <w:p w:rsidR="000473E3" w:rsidRDefault="00A651A6">
      <w:pPr>
        <w:spacing w:line="360" w:lineRule="auto"/>
        <w:ind w:firstLine="720"/>
        <w:jc w:val="both"/>
        <w:rPr>
          <w:b/>
          <w:sz w:val="24"/>
          <w:szCs w:val="24"/>
        </w:rPr>
      </w:pPr>
      <w:r>
        <w:rPr>
          <w:sz w:val="24"/>
          <w:szCs w:val="24"/>
        </w:rPr>
        <w:t>A tipagem ABO é fundamental para determinar tanto o tipo sanguíneo do paciente, quanto do doador. Esse método é feito medi</w:t>
      </w:r>
      <w:r>
        <w:rPr>
          <w:sz w:val="24"/>
          <w:szCs w:val="24"/>
        </w:rPr>
        <w:t xml:space="preserve">ante a utilização de reagentes que vão indicar a presença ou não dos antígenos no sangue testado </w:t>
      </w:r>
      <w:r>
        <w:rPr>
          <w:sz w:val="24"/>
          <w:szCs w:val="24"/>
          <w:highlight w:val="white"/>
        </w:rPr>
        <w:t>(OLSSON et al., 2001)</w:t>
      </w:r>
      <w:r>
        <w:rPr>
          <w:sz w:val="24"/>
          <w:szCs w:val="24"/>
        </w:rPr>
        <w:t xml:space="preserve">. </w:t>
      </w:r>
    </w:p>
    <w:p w:rsidR="000473E3" w:rsidRDefault="00A651A6">
      <w:pPr>
        <w:spacing w:line="360" w:lineRule="auto"/>
        <w:ind w:firstLine="720"/>
        <w:jc w:val="both"/>
        <w:rPr>
          <w:sz w:val="24"/>
          <w:szCs w:val="24"/>
        </w:rPr>
        <w:sectPr w:rsidR="000473E3">
          <w:type w:val="continuous"/>
          <w:pgSz w:w="11906" w:h="16838"/>
          <w:pgMar w:top="1700" w:right="1133" w:bottom="1133" w:left="1700" w:header="720" w:footer="720" w:gutter="0"/>
          <w:cols w:space="720"/>
        </w:sectPr>
      </w:pPr>
      <w:r>
        <w:rPr>
          <w:sz w:val="24"/>
          <w:szCs w:val="24"/>
        </w:rPr>
        <w:t xml:space="preserve">Com os resultados encontrados na pesquisa, foi possível observar que o tipo sanguíneo mais encontrado foi A positivo, sendo 27 (41%) pacientes dos 66 pesquisados. No </w:t>
      </w:r>
      <w:proofErr w:type="spellStart"/>
      <w:r>
        <w:rPr>
          <w:sz w:val="24"/>
          <w:szCs w:val="24"/>
        </w:rPr>
        <w:t>Hemovale</w:t>
      </w:r>
      <w:proofErr w:type="spellEnd"/>
      <w:r>
        <w:rPr>
          <w:sz w:val="24"/>
          <w:szCs w:val="24"/>
        </w:rPr>
        <w:t xml:space="preserve">, a tipagem mais frequente nos receptores de bolsas no período pesquisado foi o </w:t>
      </w:r>
      <w:proofErr w:type="spellStart"/>
      <w:r>
        <w:rPr>
          <w:sz w:val="24"/>
          <w:szCs w:val="24"/>
        </w:rPr>
        <w:t>O</w:t>
      </w:r>
      <w:proofErr w:type="spellEnd"/>
      <w:r>
        <w:rPr>
          <w:sz w:val="24"/>
          <w:szCs w:val="24"/>
        </w:rPr>
        <w:t xml:space="preserve"> </w:t>
      </w:r>
      <w:r>
        <w:rPr>
          <w:sz w:val="24"/>
          <w:szCs w:val="24"/>
        </w:rPr>
        <w:t xml:space="preserve">positivo com 7.581 pacientes e A positivo com 7.301.  Fazendo uma comparação com os casos de reação transfusional, é possível concluir que o tipo sanguíneo A é um pouco mais suscetível </w:t>
      </w:r>
      <w:proofErr w:type="gramStart"/>
      <w:r>
        <w:rPr>
          <w:sz w:val="24"/>
          <w:szCs w:val="24"/>
        </w:rPr>
        <w:t>à</w:t>
      </w:r>
      <w:proofErr w:type="gramEnd"/>
      <w:r>
        <w:rPr>
          <w:sz w:val="24"/>
          <w:szCs w:val="24"/>
        </w:rPr>
        <w:t xml:space="preserve"> ter reações. </w:t>
      </w:r>
    </w:p>
    <w:p w:rsidR="000473E3" w:rsidRDefault="000473E3">
      <w:pPr>
        <w:spacing w:line="360" w:lineRule="auto"/>
        <w:ind w:firstLine="720"/>
        <w:jc w:val="both"/>
        <w:rPr>
          <w:b/>
          <w:sz w:val="24"/>
          <w:szCs w:val="24"/>
        </w:rPr>
      </w:pPr>
    </w:p>
    <w:p w:rsidR="000473E3" w:rsidRDefault="00A651A6">
      <w:pPr>
        <w:spacing w:line="360" w:lineRule="auto"/>
        <w:jc w:val="both"/>
        <w:rPr>
          <w:b/>
          <w:sz w:val="24"/>
          <w:szCs w:val="24"/>
        </w:rPr>
      </w:pPr>
      <w:r>
        <w:rPr>
          <w:b/>
          <w:sz w:val="24"/>
          <w:szCs w:val="24"/>
        </w:rPr>
        <w:t xml:space="preserve">Diagnóstico clínico </w:t>
      </w:r>
    </w:p>
    <w:p w:rsidR="000473E3" w:rsidRDefault="00A651A6">
      <w:pPr>
        <w:spacing w:line="360" w:lineRule="auto"/>
        <w:ind w:firstLine="720"/>
        <w:jc w:val="both"/>
        <w:rPr>
          <w:sz w:val="24"/>
          <w:szCs w:val="24"/>
        </w:rPr>
      </w:pPr>
      <w:r>
        <w:rPr>
          <w:sz w:val="24"/>
          <w:szCs w:val="24"/>
        </w:rPr>
        <w:t xml:space="preserve">As reações transfusionais mais comuns são as agudas, que incluem, reações hemolíticas, anafiláticas, febril não hemolítica e </w:t>
      </w:r>
      <w:proofErr w:type="spellStart"/>
      <w:r>
        <w:rPr>
          <w:sz w:val="24"/>
          <w:szCs w:val="24"/>
        </w:rPr>
        <w:t>urticariforme</w:t>
      </w:r>
      <w:proofErr w:type="spellEnd"/>
      <w:r>
        <w:rPr>
          <w:sz w:val="24"/>
          <w:szCs w:val="24"/>
        </w:rPr>
        <w:t>. Elas podem ocorrer por problemas de incompatibilidade ABO, por problemas de identificação na amostra e nas bolsas de</w:t>
      </w:r>
      <w:r>
        <w:rPr>
          <w:sz w:val="24"/>
          <w:szCs w:val="24"/>
        </w:rPr>
        <w:t xml:space="preserve"> sangue, nesse caso, os anticorpos (</w:t>
      </w:r>
      <w:proofErr w:type="spellStart"/>
      <w:r>
        <w:rPr>
          <w:sz w:val="24"/>
          <w:szCs w:val="24"/>
        </w:rPr>
        <w:t>anti-A</w:t>
      </w:r>
      <w:proofErr w:type="spellEnd"/>
      <w:r>
        <w:rPr>
          <w:sz w:val="24"/>
          <w:szCs w:val="24"/>
        </w:rPr>
        <w:t xml:space="preserve">, </w:t>
      </w:r>
      <w:proofErr w:type="spellStart"/>
      <w:r>
        <w:rPr>
          <w:sz w:val="24"/>
          <w:szCs w:val="24"/>
        </w:rPr>
        <w:t>anti-B</w:t>
      </w:r>
      <w:proofErr w:type="spellEnd"/>
      <w:r>
        <w:rPr>
          <w:sz w:val="24"/>
          <w:szCs w:val="24"/>
        </w:rPr>
        <w:t xml:space="preserve"> e </w:t>
      </w:r>
      <w:proofErr w:type="spellStart"/>
      <w:r>
        <w:rPr>
          <w:sz w:val="24"/>
          <w:szCs w:val="24"/>
        </w:rPr>
        <w:t>anti-AB</w:t>
      </w:r>
      <w:proofErr w:type="spellEnd"/>
      <w:r>
        <w:rPr>
          <w:sz w:val="24"/>
          <w:szCs w:val="24"/>
        </w:rPr>
        <w:t xml:space="preserve">) do paciente reagem contra as hemácias (A, B ou AB) do doador gerando uma hemólise nas hemácias transfundidas. No quadro clínico desses pacientes, são relatados dor no tórax, hipotensão e febre, </w:t>
      </w:r>
      <w:r>
        <w:rPr>
          <w:sz w:val="24"/>
          <w:szCs w:val="24"/>
        </w:rPr>
        <w:t>reações que foram bastante encontradas na pesquisa do presente trabalho. (</w:t>
      </w:r>
      <w:r>
        <w:rPr>
          <w:sz w:val="24"/>
          <w:szCs w:val="24"/>
          <w:highlight w:val="white"/>
        </w:rPr>
        <w:t>OLIVEIRA, Luciana C. O., COZAC, Ana Paula C. N. C., 2003</w:t>
      </w:r>
      <w:r>
        <w:rPr>
          <w:sz w:val="24"/>
          <w:szCs w:val="24"/>
        </w:rPr>
        <w:t>).</w:t>
      </w:r>
    </w:p>
    <w:p w:rsidR="000473E3" w:rsidRDefault="00A651A6">
      <w:pPr>
        <w:spacing w:line="360" w:lineRule="auto"/>
        <w:ind w:firstLine="720"/>
        <w:jc w:val="both"/>
        <w:rPr>
          <w:sz w:val="24"/>
          <w:szCs w:val="24"/>
        </w:rPr>
      </w:pPr>
      <w:r>
        <w:rPr>
          <w:sz w:val="24"/>
          <w:szCs w:val="24"/>
        </w:rPr>
        <w:t xml:space="preserve">O alto número de casos de reações em paciente com doenças </w:t>
      </w:r>
      <w:proofErr w:type="spellStart"/>
      <w:r>
        <w:rPr>
          <w:sz w:val="24"/>
          <w:szCs w:val="24"/>
        </w:rPr>
        <w:t>oncohematológicas</w:t>
      </w:r>
      <w:proofErr w:type="spellEnd"/>
      <w:r>
        <w:rPr>
          <w:sz w:val="24"/>
          <w:szCs w:val="24"/>
        </w:rPr>
        <w:t xml:space="preserve">, está diretamente ligado a </w:t>
      </w:r>
      <w:proofErr w:type="spellStart"/>
      <w:r>
        <w:rPr>
          <w:sz w:val="24"/>
          <w:szCs w:val="24"/>
        </w:rPr>
        <w:t>politransfusão</w:t>
      </w:r>
      <w:proofErr w:type="spellEnd"/>
      <w:r>
        <w:rPr>
          <w:sz w:val="24"/>
          <w:szCs w:val="24"/>
        </w:rPr>
        <w:t>, pois</w:t>
      </w:r>
      <w:r>
        <w:rPr>
          <w:sz w:val="24"/>
          <w:szCs w:val="24"/>
        </w:rPr>
        <w:t xml:space="preserve"> são paciente que necessitam de muitas transfusões sanguíneas em um curto período de tempo, aumentando a entrada de diferentes epítopos no sangue dos pacientes. </w:t>
      </w:r>
    </w:p>
    <w:p w:rsidR="000473E3" w:rsidRDefault="00A651A6">
      <w:pPr>
        <w:spacing w:line="360" w:lineRule="auto"/>
        <w:ind w:firstLine="720"/>
        <w:jc w:val="both"/>
        <w:rPr>
          <w:sz w:val="24"/>
          <w:szCs w:val="24"/>
        </w:rPr>
        <w:sectPr w:rsidR="000473E3">
          <w:type w:val="continuous"/>
          <w:pgSz w:w="11906" w:h="16838"/>
          <w:pgMar w:top="1700" w:right="1133" w:bottom="1133" w:left="1700" w:header="720" w:footer="720" w:gutter="0"/>
          <w:cols w:space="720"/>
        </w:sectPr>
      </w:pPr>
      <w:r>
        <w:rPr>
          <w:sz w:val="24"/>
          <w:szCs w:val="24"/>
        </w:rPr>
        <w:t xml:space="preserve">A reação febril não hemolítica é geralmente encontrada em pacientes </w:t>
      </w:r>
      <w:proofErr w:type="spellStart"/>
      <w:r>
        <w:rPr>
          <w:sz w:val="24"/>
          <w:szCs w:val="24"/>
        </w:rPr>
        <w:t>politransfu</w:t>
      </w:r>
      <w:r>
        <w:rPr>
          <w:sz w:val="24"/>
          <w:szCs w:val="24"/>
        </w:rPr>
        <w:t>ndidos</w:t>
      </w:r>
      <w:proofErr w:type="spellEnd"/>
      <w:r>
        <w:rPr>
          <w:sz w:val="24"/>
          <w:szCs w:val="24"/>
        </w:rPr>
        <w:t xml:space="preserve"> e normalmente causa somente tremores, que também foi uma reação bastante encontrada nos pacientes pesquisados. Já a reação </w:t>
      </w:r>
      <w:proofErr w:type="spellStart"/>
      <w:r>
        <w:rPr>
          <w:sz w:val="24"/>
          <w:szCs w:val="24"/>
        </w:rPr>
        <w:t>urticariforme</w:t>
      </w:r>
      <w:proofErr w:type="spellEnd"/>
      <w:r>
        <w:rPr>
          <w:sz w:val="24"/>
          <w:szCs w:val="24"/>
        </w:rPr>
        <w:t xml:space="preserve"> está relacionada a reação antígeno-anticorpo, sendo que o receptor já tenha sido sensibilizado contra os antígen</w:t>
      </w:r>
      <w:r>
        <w:rPr>
          <w:sz w:val="24"/>
          <w:szCs w:val="24"/>
        </w:rPr>
        <w:t xml:space="preserve">os presentes no plasma da unidade doadora. Nesse tipo de reação o quadro é pápulas pruriginosas e vermelhidão na pele. </w:t>
      </w:r>
    </w:p>
    <w:p w:rsidR="000473E3" w:rsidRDefault="000473E3">
      <w:pPr>
        <w:spacing w:line="360" w:lineRule="auto"/>
        <w:ind w:firstLine="720"/>
        <w:jc w:val="both"/>
        <w:rPr>
          <w:b/>
          <w:sz w:val="24"/>
          <w:szCs w:val="24"/>
        </w:rPr>
      </w:pPr>
    </w:p>
    <w:p w:rsidR="000473E3" w:rsidRDefault="00A651A6">
      <w:pPr>
        <w:spacing w:line="360" w:lineRule="auto"/>
        <w:jc w:val="both"/>
        <w:rPr>
          <w:sz w:val="24"/>
          <w:szCs w:val="24"/>
        </w:rPr>
      </w:pPr>
      <w:r>
        <w:rPr>
          <w:b/>
          <w:sz w:val="24"/>
          <w:szCs w:val="24"/>
        </w:rPr>
        <w:t>Hemocomponentes</w:t>
      </w:r>
    </w:p>
    <w:p w:rsidR="000473E3" w:rsidRDefault="00A651A6">
      <w:pPr>
        <w:spacing w:after="120" w:line="360" w:lineRule="auto"/>
        <w:ind w:firstLine="720"/>
        <w:jc w:val="both"/>
        <w:rPr>
          <w:sz w:val="24"/>
          <w:szCs w:val="24"/>
        </w:rPr>
      </w:pPr>
      <w:r>
        <w:rPr>
          <w:sz w:val="24"/>
          <w:szCs w:val="24"/>
        </w:rPr>
        <w:lastRenderedPageBreak/>
        <w:t xml:space="preserve">Como a maioria dos casos na pesquisa eram anemias, perda excessiva de sangue e período </w:t>
      </w:r>
      <w:proofErr w:type="gramStart"/>
      <w:r>
        <w:rPr>
          <w:sz w:val="24"/>
          <w:szCs w:val="24"/>
        </w:rPr>
        <w:t>pós operatório</w:t>
      </w:r>
      <w:proofErr w:type="gramEnd"/>
      <w:r>
        <w:rPr>
          <w:sz w:val="24"/>
          <w:szCs w:val="24"/>
        </w:rPr>
        <w:t>, o tipo de hemoco</w:t>
      </w:r>
      <w:r>
        <w:rPr>
          <w:sz w:val="24"/>
          <w:szCs w:val="24"/>
        </w:rPr>
        <w:t>mponente mais utilizado, encontrado na pesquisa, foi o concentrado de hemácias, utilizado por 52 pacientes. Em seguida, o segundo hemocomponente mais utilizado foram as plaquetas, que no caso da pesquisa foi utilizado em pacientes leucêmicos, sendo eles 11</w:t>
      </w:r>
      <w:r>
        <w:rPr>
          <w:sz w:val="24"/>
          <w:szCs w:val="24"/>
        </w:rPr>
        <w:t xml:space="preserve">. E por fim, somente 3 pacientes utilizaram plasma, em função de </w:t>
      </w:r>
      <w:proofErr w:type="spellStart"/>
      <w:r>
        <w:rPr>
          <w:sz w:val="24"/>
          <w:szCs w:val="24"/>
        </w:rPr>
        <w:t>coagulopatias</w:t>
      </w:r>
      <w:proofErr w:type="spellEnd"/>
      <w:r>
        <w:rPr>
          <w:sz w:val="24"/>
          <w:szCs w:val="24"/>
        </w:rPr>
        <w:t>.</w:t>
      </w:r>
    </w:p>
    <w:p w:rsidR="000473E3" w:rsidRDefault="00A651A6">
      <w:pPr>
        <w:spacing w:after="120" w:line="360" w:lineRule="auto"/>
        <w:ind w:firstLine="720"/>
        <w:jc w:val="both"/>
        <w:rPr>
          <w:sz w:val="24"/>
          <w:szCs w:val="24"/>
        </w:rPr>
        <w:sectPr w:rsidR="000473E3">
          <w:type w:val="continuous"/>
          <w:pgSz w:w="11906" w:h="16838"/>
          <w:pgMar w:top="1700" w:right="1133" w:bottom="1133" w:left="1700" w:header="720" w:footer="720" w:gutter="0"/>
          <w:cols w:space="720"/>
        </w:sectPr>
      </w:pPr>
      <w:r>
        <w:rPr>
          <w:sz w:val="24"/>
          <w:szCs w:val="24"/>
        </w:rPr>
        <w:t xml:space="preserve">Tendo em vista que, em geral, o hemoderivado mais utilizado de 2018 a 2021, em todos os pacientes que realizaram transfusões sanguíneas no </w:t>
      </w:r>
      <w:proofErr w:type="spellStart"/>
      <w:r>
        <w:rPr>
          <w:sz w:val="24"/>
          <w:szCs w:val="24"/>
        </w:rPr>
        <w:t>Hemovale</w:t>
      </w:r>
      <w:proofErr w:type="spellEnd"/>
      <w:r>
        <w:rPr>
          <w:sz w:val="24"/>
          <w:szCs w:val="24"/>
        </w:rPr>
        <w:t xml:space="preserve"> foi o concent</w:t>
      </w:r>
      <w:r>
        <w:rPr>
          <w:sz w:val="24"/>
          <w:szCs w:val="24"/>
        </w:rPr>
        <w:t xml:space="preserve">rado de plaquetas, podemos dizer que não houveram tantas reações, pois nos pacientes com leucemia é feito uma medicação </w:t>
      </w:r>
      <w:proofErr w:type="spellStart"/>
      <w:r>
        <w:rPr>
          <w:sz w:val="24"/>
          <w:szCs w:val="24"/>
        </w:rPr>
        <w:t>pré</w:t>
      </w:r>
      <w:proofErr w:type="spellEnd"/>
      <w:r>
        <w:rPr>
          <w:sz w:val="24"/>
          <w:szCs w:val="24"/>
        </w:rPr>
        <w:t>-transfusional, o que ajuda a diminuir as chances de reações.</w:t>
      </w:r>
    </w:p>
    <w:p w:rsidR="000473E3" w:rsidRDefault="000473E3">
      <w:pPr>
        <w:spacing w:line="360" w:lineRule="auto"/>
        <w:jc w:val="both"/>
        <w:rPr>
          <w:b/>
          <w:sz w:val="24"/>
          <w:szCs w:val="24"/>
        </w:rPr>
      </w:pPr>
    </w:p>
    <w:p w:rsidR="000473E3" w:rsidRDefault="00A651A6">
      <w:pPr>
        <w:spacing w:line="360" w:lineRule="auto"/>
        <w:jc w:val="both"/>
        <w:rPr>
          <w:b/>
          <w:sz w:val="24"/>
          <w:szCs w:val="24"/>
        </w:rPr>
      </w:pPr>
      <w:r>
        <w:rPr>
          <w:b/>
          <w:sz w:val="24"/>
          <w:szCs w:val="24"/>
        </w:rPr>
        <w:t>Reações transfusionais</w:t>
      </w:r>
    </w:p>
    <w:p w:rsidR="000473E3" w:rsidRDefault="00A651A6">
      <w:pPr>
        <w:spacing w:line="360" w:lineRule="auto"/>
        <w:ind w:firstLine="720"/>
        <w:jc w:val="both"/>
        <w:rPr>
          <w:sz w:val="24"/>
          <w:szCs w:val="24"/>
        </w:rPr>
      </w:pPr>
      <w:r>
        <w:rPr>
          <w:sz w:val="24"/>
          <w:szCs w:val="24"/>
          <w:highlight w:val="white"/>
        </w:rPr>
        <w:t>As reações transfusionais são as intercorrência</w:t>
      </w:r>
      <w:r>
        <w:rPr>
          <w:sz w:val="24"/>
          <w:szCs w:val="24"/>
          <w:highlight w:val="white"/>
        </w:rPr>
        <w:t xml:space="preserve">s que acontecem durante ou após uma transfusão sanguínea. </w:t>
      </w:r>
      <w:r>
        <w:rPr>
          <w:sz w:val="24"/>
          <w:szCs w:val="24"/>
        </w:rPr>
        <w:t>Conforme Rodrigues et al. (2017), elas podem ser elencadas como agudas</w:t>
      </w:r>
      <w:r>
        <w:rPr>
          <w:sz w:val="24"/>
          <w:szCs w:val="24"/>
          <w:highlight w:val="white"/>
        </w:rPr>
        <w:t>, quando ocorrem durante e após 24 horas da administração, ou tardias, quando acontecem depois desse período. Também são classif</w:t>
      </w:r>
      <w:r>
        <w:rPr>
          <w:sz w:val="24"/>
          <w:szCs w:val="24"/>
          <w:highlight w:val="white"/>
        </w:rPr>
        <w:t xml:space="preserve">icadas como imunológicas, não imunológicas, infecciosas e não infecciosas </w:t>
      </w:r>
      <w:r>
        <w:rPr>
          <w:sz w:val="24"/>
          <w:szCs w:val="24"/>
        </w:rPr>
        <w:t>(BAIOCCHI et al., 2019).</w:t>
      </w:r>
    </w:p>
    <w:p w:rsidR="000473E3" w:rsidRDefault="00A651A6">
      <w:pPr>
        <w:spacing w:after="120" w:line="360" w:lineRule="auto"/>
        <w:jc w:val="both"/>
        <w:rPr>
          <w:sz w:val="24"/>
          <w:szCs w:val="24"/>
        </w:rPr>
      </w:pPr>
      <w:r>
        <w:rPr>
          <w:sz w:val="24"/>
          <w:szCs w:val="24"/>
        </w:rPr>
        <w:tab/>
        <w:t xml:space="preserve">Os principais sintomas das reações agudas são </w:t>
      </w:r>
      <w:proofErr w:type="gramStart"/>
      <w:r>
        <w:rPr>
          <w:sz w:val="24"/>
          <w:szCs w:val="24"/>
        </w:rPr>
        <w:t>febre</w:t>
      </w:r>
      <w:proofErr w:type="gramEnd"/>
      <w:r>
        <w:rPr>
          <w:sz w:val="24"/>
          <w:szCs w:val="24"/>
        </w:rPr>
        <w:t>, calafrios sem febre, dor no local da infusão, dores abdominais, alterações na pressão arterial, alteraç</w:t>
      </w:r>
      <w:r>
        <w:rPr>
          <w:sz w:val="24"/>
          <w:szCs w:val="24"/>
        </w:rPr>
        <w:t>ões respiratórias e cutâneas, náuseas, vômitos, icterícia e hemoglobinúria (RODRIGUES et al., 2017).</w:t>
      </w:r>
    </w:p>
    <w:p w:rsidR="000473E3" w:rsidRDefault="00A651A6">
      <w:pPr>
        <w:spacing w:after="120" w:line="360" w:lineRule="auto"/>
        <w:jc w:val="both"/>
        <w:rPr>
          <w:sz w:val="24"/>
          <w:szCs w:val="24"/>
        </w:rPr>
      </w:pPr>
      <w:r>
        <w:rPr>
          <w:sz w:val="24"/>
          <w:szCs w:val="24"/>
        </w:rPr>
        <w:tab/>
        <w:t>As reações agudas ocorrem rapidamente após a instalação da bolsa, e qualquer sintoma que o paciente apresente, diferente do seu quadro clínico, deve-se in</w:t>
      </w:r>
      <w:r>
        <w:rPr>
          <w:sz w:val="24"/>
          <w:szCs w:val="24"/>
        </w:rPr>
        <w:t xml:space="preserve">terromper a transfusão e tratar a reação, cada uma tem um tipo de tratamento diferente. A maioria dos casos pesquisados foram de reações agudas, sendo os principais sintomas, febre, tremores, calafrios, dificuldade respiratória, eritema, pápulas, prurido, </w:t>
      </w:r>
      <w:r>
        <w:rPr>
          <w:sz w:val="24"/>
          <w:szCs w:val="24"/>
        </w:rPr>
        <w:t xml:space="preserve">urticária, náusea, </w:t>
      </w:r>
      <w:proofErr w:type="gramStart"/>
      <w:r>
        <w:rPr>
          <w:sz w:val="24"/>
          <w:szCs w:val="24"/>
        </w:rPr>
        <w:t>mal estar</w:t>
      </w:r>
      <w:proofErr w:type="gramEnd"/>
      <w:r>
        <w:rPr>
          <w:sz w:val="24"/>
          <w:szCs w:val="24"/>
        </w:rPr>
        <w:t>, dispneia, taquipneia, hipertensão, dor abdominal, entre outros.</w:t>
      </w:r>
    </w:p>
    <w:p w:rsidR="000473E3" w:rsidRDefault="00A651A6">
      <w:pPr>
        <w:spacing w:after="120" w:line="360" w:lineRule="auto"/>
        <w:jc w:val="both"/>
        <w:rPr>
          <w:sz w:val="24"/>
          <w:szCs w:val="24"/>
        </w:rPr>
      </w:pPr>
      <w:r>
        <w:rPr>
          <w:sz w:val="24"/>
          <w:szCs w:val="24"/>
        </w:rPr>
        <w:tab/>
        <w:t xml:space="preserve">Somente 3 pacientes apresentaram reações tardias, todos no ano de 2021 por complicações do </w:t>
      </w:r>
      <w:proofErr w:type="spellStart"/>
      <w:r>
        <w:rPr>
          <w:sz w:val="24"/>
          <w:szCs w:val="24"/>
        </w:rPr>
        <w:t>coronavírus</w:t>
      </w:r>
      <w:proofErr w:type="spellEnd"/>
      <w:r>
        <w:rPr>
          <w:sz w:val="24"/>
          <w:szCs w:val="24"/>
        </w:rPr>
        <w:t>. Esse tipo de reação acontece depois das primeiras 24 hora</w:t>
      </w:r>
      <w:r>
        <w:rPr>
          <w:sz w:val="24"/>
          <w:szCs w:val="24"/>
        </w:rPr>
        <w:t xml:space="preserve">s de transfusão e nos 3 casos os pacientes apresentaram o exame de </w:t>
      </w:r>
      <w:proofErr w:type="spellStart"/>
      <w:r>
        <w:rPr>
          <w:sz w:val="24"/>
          <w:szCs w:val="24"/>
        </w:rPr>
        <w:t>Coombs</w:t>
      </w:r>
      <w:proofErr w:type="spellEnd"/>
      <w:r>
        <w:rPr>
          <w:sz w:val="24"/>
          <w:szCs w:val="24"/>
        </w:rPr>
        <w:t xml:space="preserve"> </w:t>
      </w:r>
      <w:r>
        <w:rPr>
          <w:sz w:val="24"/>
          <w:szCs w:val="24"/>
        </w:rPr>
        <w:lastRenderedPageBreak/>
        <w:t xml:space="preserve">Indireto positivo, indicando a presença de algum anticorpo irregular no sangue do receptor. </w:t>
      </w:r>
    </w:p>
    <w:p w:rsidR="000473E3" w:rsidRDefault="00A651A6">
      <w:pPr>
        <w:spacing w:line="360" w:lineRule="auto"/>
        <w:jc w:val="both"/>
        <w:rPr>
          <w:sz w:val="24"/>
          <w:szCs w:val="24"/>
        </w:rPr>
        <w:sectPr w:rsidR="000473E3">
          <w:type w:val="continuous"/>
          <w:pgSz w:w="11906" w:h="16838"/>
          <w:pgMar w:top="1700" w:right="1133" w:bottom="1133" w:left="1700" w:header="720" w:footer="720" w:gutter="0"/>
          <w:cols w:space="720"/>
        </w:sectPr>
      </w:pPr>
      <w:r>
        <w:rPr>
          <w:sz w:val="24"/>
          <w:szCs w:val="24"/>
        </w:rPr>
        <w:tab/>
      </w:r>
    </w:p>
    <w:p w:rsidR="000473E3" w:rsidRDefault="00A651A6">
      <w:pPr>
        <w:spacing w:line="360" w:lineRule="auto"/>
        <w:jc w:val="both"/>
        <w:rPr>
          <w:b/>
          <w:sz w:val="24"/>
          <w:szCs w:val="24"/>
        </w:rPr>
      </w:pPr>
      <w:r>
        <w:rPr>
          <w:b/>
          <w:sz w:val="24"/>
          <w:szCs w:val="24"/>
        </w:rPr>
        <w:t xml:space="preserve">Exames </w:t>
      </w:r>
      <w:proofErr w:type="spellStart"/>
      <w:r>
        <w:rPr>
          <w:b/>
          <w:sz w:val="24"/>
          <w:szCs w:val="24"/>
        </w:rPr>
        <w:t>pré</w:t>
      </w:r>
      <w:proofErr w:type="spellEnd"/>
      <w:r>
        <w:rPr>
          <w:b/>
          <w:sz w:val="24"/>
          <w:szCs w:val="24"/>
        </w:rPr>
        <w:t xml:space="preserve"> e pós transfusionais</w:t>
      </w:r>
    </w:p>
    <w:p w:rsidR="000473E3" w:rsidRDefault="00A651A6">
      <w:pPr>
        <w:spacing w:line="360" w:lineRule="auto"/>
        <w:jc w:val="both"/>
        <w:rPr>
          <w:sz w:val="24"/>
          <w:szCs w:val="24"/>
        </w:rPr>
      </w:pPr>
      <w:r>
        <w:rPr>
          <w:b/>
          <w:sz w:val="24"/>
          <w:szCs w:val="24"/>
        </w:rPr>
        <w:tab/>
      </w:r>
      <w:r>
        <w:rPr>
          <w:sz w:val="24"/>
          <w:szCs w:val="24"/>
        </w:rPr>
        <w:t xml:space="preserve">O Teste de </w:t>
      </w:r>
      <w:proofErr w:type="spellStart"/>
      <w:r>
        <w:rPr>
          <w:sz w:val="24"/>
          <w:szCs w:val="24"/>
        </w:rPr>
        <w:t>Antiglobulina</w:t>
      </w:r>
      <w:proofErr w:type="spellEnd"/>
      <w:r>
        <w:rPr>
          <w:sz w:val="24"/>
          <w:szCs w:val="24"/>
        </w:rPr>
        <w:t xml:space="preserve"> Indireto (TAI)</w:t>
      </w:r>
      <w:r>
        <w:rPr>
          <w:sz w:val="24"/>
          <w:szCs w:val="24"/>
        </w:rPr>
        <w:t xml:space="preserve">, ou também chamado de </w:t>
      </w:r>
      <w:proofErr w:type="spellStart"/>
      <w:r>
        <w:rPr>
          <w:sz w:val="24"/>
          <w:szCs w:val="24"/>
        </w:rPr>
        <w:t>Coombs</w:t>
      </w:r>
      <w:proofErr w:type="spellEnd"/>
      <w:r>
        <w:rPr>
          <w:sz w:val="24"/>
          <w:szCs w:val="24"/>
        </w:rPr>
        <w:t xml:space="preserve"> indireto, pesquisa a sensibilidade de anticorpos </w:t>
      </w:r>
      <w:r>
        <w:rPr>
          <w:i/>
          <w:sz w:val="24"/>
          <w:szCs w:val="24"/>
        </w:rPr>
        <w:t xml:space="preserve">in vitro, </w:t>
      </w:r>
      <w:r>
        <w:rPr>
          <w:sz w:val="24"/>
          <w:szCs w:val="24"/>
        </w:rPr>
        <w:t xml:space="preserve">utilizando dois reagentes de hemácias de tipagem conhecida O positivo, que entram em contato com o soro ou plasma do doador para verificar a presença de anticorpos na </w:t>
      </w:r>
      <w:r>
        <w:rPr>
          <w:sz w:val="24"/>
          <w:szCs w:val="24"/>
        </w:rPr>
        <w:t xml:space="preserve">amostra. E o Teste de </w:t>
      </w:r>
      <w:proofErr w:type="spellStart"/>
      <w:r>
        <w:rPr>
          <w:sz w:val="24"/>
          <w:szCs w:val="24"/>
        </w:rPr>
        <w:t>Antiglobulina</w:t>
      </w:r>
      <w:proofErr w:type="spellEnd"/>
      <w:r>
        <w:rPr>
          <w:sz w:val="24"/>
          <w:szCs w:val="24"/>
        </w:rPr>
        <w:t xml:space="preserve"> Direto (TAD), ou também conhecido como </w:t>
      </w:r>
      <w:proofErr w:type="spellStart"/>
      <w:r>
        <w:rPr>
          <w:sz w:val="24"/>
          <w:szCs w:val="24"/>
        </w:rPr>
        <w:t>Coombs</w:t>
      </w:r>
      <w:proofErr w:type="spellEnd"/>
      <w:r>
        <w:rPr>
          <w:sz w:val="24"/>
          <w:szCs w:val="24"/>
        </w:rPr>
        <w:t xml:space="preserve"> direto, é um método simples para detectar a sensibilização </w:t>
      </w:r>
      <w:r>
        <w:rPr>
          <w:i/>
          <w:sz w:val="24"/>
          <w:szCs w:val="24"/>
        </w:rPr>
        <w:t xml:space="preserve">in vivo </w:t>
      </w:r>
      <w:r>
        <w:rPr>
          <w:sz w:val="24"/>
          <w:szCs w:val="24"/>
        </w:rPr>
        <w:t xml:space="preserve">de hemácias com </w:t>
      </w:r>
      <w:proofErr w:type="spellStart"/>
      <w:r>
        <w:rPr>
          <w:sz w:val="24"/>
          <w:szCs w:val="24"/>
        </w:rPr>
        <w:t>IgG</w:t>
      </w:r>
      <w:proofErr w:type="spellEnd"/>
      <w:r>
        <w:rPr>
          <w:sz w:val="24"/>
          <w:szCs w:val="24"/>
        </w:rPr>
        <w:t xml:space="preserve"> e componentes do complemento (VIZZONI, 2015).</w:t>
      </w:r>
    </w:p>
    <w:p w:rsidR="000473E3" w:rsidRDefault="00A651A6">
      <w:pPr>
        <w:spacing w:line="360" w:lineRule="auto"/>
        <w:jc w:val="both"/>
        <w:rPr>
          <w:sz w:val="24"/>
          <w:szCs w:val="24"/>
        </w:rPr>
      </w:pPr>
      <w:r>
        <w:rPr>
          <w:sz w:val="24"/>
          <w:szCs w:val="24"/>
        </w:rPr>
        <w:tab/>
        <w:t>A prova de compatibilidade existe para t</w:t>
      </w:r>
      <w:r>
        <w:rPr>
          <w:sz w:val="24"/>
          <w:szCs w:val="24"/>
        </w:rPr>
        <w:t>estar a presença de anticorpos no soro do receptor contra os antígenos de grupos sanguíneos na hemácia do doador, o que é feito a partir da mistura do soro do paciente com as hemácias da bolsa testada. Já a prova cruzada consiste em adicionar substâncias p</w:t>
      </w:r>
      <w:r>
        <w:rPr>
          <w:sz w:val="24"/>
          <w:szCs w:val="24"/>
        </w:rPr>
        <w:t xml:space="preserve">otencializadoras, normalmente utilizando-se a solução PEG a 20%. Se o resultado dá positivo numa prova cruzada, o paciente não deve ser transfundido até que o motivo dessa incompatibilidade seja definido (GALDINO et al., 2018). </w:t>
      </w:r>
      <w:r>
        <w:rPr>
          <w:sz w:val="24"/>
          <w:szCs w:val="24"/>
        </w:rPr>
        <w:tab/>
      </w:r>
    </w:p>
    <w:p w:rsidR="000473E3" w:rsidRDefault="00A651A6">
      <w:pPr>
        <w:spacing w:line="360" w:lineRule="auto"/>
        <w:ind w:firstLine="720"/>
        <w:jc w:val="both"/>
        <w:rPr>
          <w:sz w:val="24"/>
          <w:szCs w:val="24"/>
          <w:highlight w:val="white"/>
        </w:rPr>
      </w:pPr>
      <w:r>
        <w:rPr>
          <w:sz w:val="24"/>
          <w:szCs w:val="24"/>
        </w:rPr>
        <w:t>Na pesquisa, os exames que</w:t>
      </w:r>
      <w:r>
        <w:rPr>
          <w:sz w:val="24"/>
          <w:szCs w:val="24"/>
        </w:rPr>
        <w:t xml:space="preserve"> não foram realizados no período </w:t>
      </w:r>
      <w:proofErr w:type="spellStart"/>
      <w:r>
        <w:rPr>
          <w:sz w:val="24"/>
          <w:szCs w:val="24"/>
        </w:rPr>
        <w:t>pré</w:t>
      </w:r>
      <w:proofErr w:type="spellEnd"/>
      <w:r>
        <w:rPr>
          <w:sz w:val="24"/>
          <w:szCs w:val="24"/>
        </w:rPr>
        <w:t xml:space="preserve">-transfusional é porque foram transfundidos plaquetas ou plasma, e nesse caso o exame não é realizado, pois as provas de compatibilidades precisam de hemácias para realizar os exames, então, hemocomponentes derivados do </w:t>
      </w:r>
      <w:r>
        <w:rPr>
          <w:sz w:val="24"/>
          <w:szCs w:val="24"/>
        </w:rPr>
        <w:t xml:space="preserve">plasma, como as plaquetas, o </w:t>
      </w:r>
      <w:proofErr w:type="spellStart"/>
      <w:r>
        <w:rPr>
          <w:sz w:val="24"/>
          <w:szCs w:val="24"/>
        </w:rPr>
        <w:t>crioprecipitado</w:t>
      </w:r>
      <w:proofErr w:type="spellEnd"/>
      <w:r>
        <w:rPr>
          <w:sz w:val="24"/>
          <w:szCs w:val="24"/>
        </w:rPr>
        <w:t xml:space="preserve"> e o plasma só se realiza os exames de tipagem e pesquisa de anticorpos. Nos casos dos exames pós-transfusionais que não foram realizados, é porque que no caso de reações alérgicas, não é necessário a realização </w:t>
      </w:r>
      <w:r>
        <w:rPr>
          <w:sz w:val="24"/>
          <w:szCs w:val="24"/>
        </w:rPr>
        <w:t xml:space="preserve">dos testes. </w:t>
      </w:r>
    </w:p>
    <w:p w:rsidR="000473E3" w:rsidRDefault="00A651A6">
      <w:pPr>
        <w:spacing w:before="240" w:after="240" w:line="360" w:lineRule="auto"/>
        <w:rPr>
          <w:b/>
          <w:sz w:val="24"/>
          <w:szCs w:val="24"/>
        </w:rPr>
      </w:pPr>
      <w:r>
        <w:rPr>
          <w:b/>
          <w:sz w:val="24"/>
          <w:szCs w:val="24"/>
        </w:rPr>
        <w:t>CONCLUSÃO</w:t>
      </w:r>
    </w:p>
    <w:p w:rsidR="000473E3" w:rsidRDefault="00A651A6">
      <w:pPr>
        <w:spacing w:after="120" w:line="360" w:lineRule="auto"/>
        <w:ind w:firstLine="720"/>
        <w:jc w:val="both"/>
        <w:rPr>
          <w:b/>
          <w:sz w:val="24"/>
          <w:szCs w:val="24"/>
        </w:rPr>
      </w:pPr>
      <w:r>
        <w:rPr>
          <w:sz w:val="24"/>
          <w:szCs w:val="24"/>
          <w:highlight w:val="white"/>
        </w:rPr>
        <w:t xml:space="preserve"> Sabendo que os exames realizados nos bancos de sangue não apresentam 100% de sensibilidade e especificidade, e por não existirem sangues exatamente iguais, pelo estilo de vida de cada doador e receptor, por mínimas que sejam, as rea</w:t>
      </w:r>
      <w:r>
        <w:rPr>
          <w:sz w:val="24"/>
          <w:szCs w:val="24"/>
          <w:highlight w:val="white"/>
        </w:rPr>
        <w:t xml:space="preserve">ções acontecem. Já as mais graves estão relacionadas a problemas operacionais, de troca de amostras, identificação errada de bolsas, entre outras. </w:t>
      </w:r>
    </w:p>
    <w:p w:rsidR="000473E3" w:rsidRDefault="00A651A6">
      <w:pPr>
        <w:spacing w:before="240" w:after="240" w:line="360" w:lineRule="auto"/>
        <w:jc w:val="both"/>
        <w:rPr>
          <w:sz w:val="24"/>
          <w:szCs w:val="24"/>
        </w:rPr>
      </w:pPr>
      <w:r>
        <w:rPr>
          <w:b/>
          <w:sz w:val="24"/>
          <w:szCs w:val="24"/>
        </w:rPr>
        <w:lastRenderedPageBreak/>
        <w:tab/>
      </w:r>
      <w:r>
        <w:rPr>
          <w:sz w:val="24"/>
          <w:szCs w:val="24"/>
        </w:rPr>
        <w:t xml:space="preserve">Os pontos discutidos na presente pesquisa mostram que sem os testes </w:t>
      </w:r>
      <w:proofErr w:type="spellStart"/>
      <w:r>
        <w:rPr>
          <w:sz w:val="24"/>
          <w:szCs w:val="24"/>
        </w:rPr>
        <w:t>pré</w:t>
      </w:r>
      <w:proofErr w:type="spellEnd"/>
      <w:r>
        <w:rPr>
          <w:sz w:val="24"/>
          <w:szCs w:val="24"/>
        </w:rPr>
        <w:t>-transfusionais as chances de ocorre</w:t>
      </w:r>
      <w:r>
        <w:rPr>
          <w:sz w:val="24"/>
          <w:szCs w:val="24"/>
        </w:rPr>
        <w:t xml:space="preserve">rem reações seriam maiores e mais graves. Mesmo com esse cuidado, os exames ainda não têm uma especificidade suficiente, é por isso que hoje, ainda existe uma necessidade de serem buscados marcadores que sejam mais específicos, e que possam revelar alguma </w:t>
      </w:r>
      <w:r>
        <w:rPr>
          <w:sz w:val="24"/>
          <w:szCs w:val="24"/>
        </w:rPr>
        <w:t xml:space="preserve">alteração no sangue, tanto do doador quanto do receptor, que tenha gerado esse problema. </w:t>
      </w:r>
      <w:r>
        <w:rPr>
          <w:sz w:val="24"/>
          <w:szCs w:val="24"/>
        </w:rPr>
        <w:tab/>
      </w:r>
    </w:p>
    <w:p w:rsidR="000473E3" w:rsidRDefault="00A651A6">
      <w:pPr>
        <w:spacing w:before="240" w:after="240" w:line="360" w:lineRule="auto"/>
        <w:ind w:firstLine="720"/>
        <w:jc w:val="both"/>
        <w:rPr>
          <w:sz w:val="24"/>
          <w:szCs w:val="24"/>
        </w:rPr>
      </w:pPr>
      <w:r>
        <w:rPr>
          <w:sz w:val="24"/>
          <w:szCs w:val="24"/>
        </w:rPr>
        <w:t xml:space="preserve">Contudo, mesmo sabendo dos riscos, as transfusões sanguíneas são procedimentos importantíssimos que salvam a vida de muitas pessoas. E os testes </w:t>
      </w:r>
      <w:proofErr w:type="spellStart"/>
      <w:r>
        <w:rPr>
          <w:sz w:val="24"/>
          <w:szCs w:val="24"/>
        </w:rPr>
        <w:t>pré</w:t>
      </w:r>
      <w:proofErr w:type="spellEnd"/>
      <w:r>
        <w:rPr>
          <w:sz w:val="24"/>
          <w:szCs w:val="24"/>
        </w:rPr>
        <w:t xml:space="preserve">-transfusionais existem para atenuar problemas maiores no momento da transfusão ou até mesmo depois. </w:t>
      </w:r>
    </w:p>
    <w:p w:rsidR="000473E3" w:rsidRDefault="00A651A6">
      <w:pPr>
        <w:spacing w:before="240" w:after="240" w:line="360" w:lineRule="auto"/>
        <w:jc w:val="both"/>
        <w:rPr>
          <w:b/>
          <w:sz w:val="24"/>
          <w:szCs w:val="24"/>
        </w:rPr>
      </w:pPr>
      <w:r>
        <w:rPr>
          <w:b/>
          <w:sz w:val="24"/>
          <w:szCs w:val="24"/>
        </w:rPr>
        <w:t>REFERÊ</w:t>
      </w:r>
      <w:r>
        <w:rPr>
          <w:b/>
          <w:sz w:val="24"/>
          <w:szCs w:val="24"/>
        </w:rPr>
        <w:t>NCIAS</w:t>
      </w:r>
    </w:p>
    <w:p w:rsidR="000473E3" w:rsidRDefault="00A651A6">
      <w:pPr>
        <w:spacing w:line="240" w:lineRule="auto"/>
        <w:rPr>
          <w:sz w:val="24"/>
          <w:szCs w:val="24"/>
          <w:highlight w:val="white"/>
        </w:rPr>
      </w:pPr>
      <w:r>
        <w:rPr>
          <w:sz w:val="24"/>
          <w:szCs w:val="24"/>
          <w:highlight w:val="white"/>
        </w:rPr>
        <w:t xml:space="preserve">BAIOCCHI, Otávio C. C. G., PENNA, Adriana M. D. </w:t>
      </w:r>
      <w:r>
        <w:rPr>
          <w:b/>
          <w:sz w:val="24"/>
          <w:szCs w:val="24"/>
          <w:highlight w:val="white"/>
        </w:rPr>
        <w:t>Guia de Bolso de Hematologia</w:t>
      </w:r>
      <w:r>
        <w:rPr>
          <w:sz w:val="24"/>
          <w:szCs w:val="24"/>
          <w:highlight w:val="white"/>
        </w:rPr>
        <w:t>. 2ª edição. Rio de Janeiro: Editora Atheneu, 2019.</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BATISSOCO, AC; NOVARETTI, MCZ </w:t>
      </w:r>
      <w:r>
        <w:rPr>
          <w:b/>
          <w:sz w:val="24"/>
          <w:szCs w:val="24"/>
          <w:highlight w:val="white"/>
        </w:rPr>
        <w:t xml:space="preserve">Aspectos moleculares do Sistema </w:t>
      </w:r>
      <w:proofErr w:type="spellStart"/>
      <w:r>
        <w:rPr>
          <w:b/>
          <w:sz w:val="24"/>
          <w:szCs w:val="24"/>
          <w:highlight w:val="white"/>
        </w:rPr>
        <w:t>Sangüíneo</w:t>
      </w:r>
      <w:proofErr w:type="spellEnd"/>
      <w:r>
        <w:rPr>
          <w:b/>
          <w:sz w:val="24"/>
          <w:szCs w:val="24"/>
          <w:highlight w:val="white"/>
        </w:rPr>
        <w:t xml:space="preserve"> ABO</w:t>
      </w:r>
      <w:r>
        <w:rPr>
          <w:sz w:val="24"/>
          <w:szCs w:val="24"/>
          <w:highlight w:val="white"/>
        </w:rPr>
        <w:t xml:space="preserve">. Revista brasileira de hematologia e </w:t>
      </w:r>
      <w:proofErr w:type="gramStart"/>
      <w:r>
        <w:rPr>
          <w:sz w:val="24"/>
          <w:szCs w:val="24"/>
          <w:highlight w:val="white"/>
        </w:rPr>
        <w:t>hemotera</w:t>
      </w:r>
      <w:r>
        <w:rPr>
          <w:sz w:val="24"/>
          <w:szCs w:val="24"/>
          <w:highlight w:val="white"/>
        </w:rPr>
        <w:t>pia ,</w:t>
      </w:r>
      <w:proofErr w:type="gramEnd"/>
      <w:r>
        <w:rPr>
          <w:sz w:val="24"/>
          <w:szCs w:val="24"/>
          <w:highlight w:val="white"/>
        </w:rPr>
        <w:t xml:space="preserve"> v. 25, n. 1, 2003. Disponível em:&lt;</w:t>
      </w:r>
      <w:r>
        <w:rPr>
          <w:sz w:val="24"/>
          <w:szCs w:val="24"/>
        </w:rPr>
        <w:t>https://www.scielo.br/scielo.php?script=sci_arttext&amp;pid=S1516-84842003000100008&amp;lang=pt</w:t>
      </w:r>
      <w:r>
        <w:rPr>
          <w:sz w:val="24"/>
          <w:szCs w:val="24"/>
          <w:highlight w:val="white"/>
        </w:rPr>
        <w:t>&gt;. Acesso em 13 de novembro de 2021.</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CARRAZZONE, CFV; BRITO, AM DE; GOMES, YM </w:t>
      </w:r>
      <w:r>
        <w:rPr>
          <w:b/>
          <w:sz w:val="24"/>
          <w:szCs w:val="24"/>
          <w:highlight w:val="white"/>
        </w:rPr>
        <w:t xml:space="preserve">Importância da avaliação sorológica </w:t>
      </w:r>
      <w:proofErr w:type="spellStart"/>
      <w:r>
        <w:rPr>
          <w:b/>
          <w:sz w:val="24"/>
          <w:szCs w:val="24"/>
          <w:highlight w:val="white"/>
        </w:rPr>
        <w:t>pré</w:t>
      </w:r>
      <w:proofErr w:type="spellEnd"/>
      <w:r>
        <w:rPr>
          <w:b/>
          <w:sz w:val="24"/>
          <w:szCs w:val="24"/>
          <w:highlight w:val="white"/>
        </w:rPr>
        <w:t>-transfusio</w:t>
      </w:r>
      <w:r>
        <w:rPr>
          <w:b/>
          <w:sz w:val="24"/>
          <w:szCs w:val="24"/>
          <w:highlight w:val="white"/>
        </w:rPr>
        <w:t>nal em receptores de sangue.</w:t>
      </w:r>
      <w:r>
        <w:rPr>
          <w:sz w:val="24"/>
          <w:szCs w:val="24"/>
          <w:highlight w:val="white"/>
        </w:rPr>
        <w:t xml:space="preserve"> Revista brasileira de hematologia e </w:t>
      </w:r>
      <w:proofErr w:type="gramStart"/>
      <w:r>
        <w:rPr>
          <w:sz w:val="24"/>
          <w:szCs w:val="24"/>
          <w:highlight w:val="white"/>
        </w:rPr>
        <w:t>hemoterapia ,</w:t>
      </w:r>
      <w:proofErr w:type="gramEnd"/>
      <w:r>
        <w:rPr>
          <w:sz w:val="24"/>
          <w:szCs w:val="24"/>
          <w:highlight w:val="white"/>
        </w:rPr>
        <w:t xml:space="preserve"> v. 26, n. 2, 2004. Disponível em: &lt;</w:t>
      </w:r>
      <w:r>
        <w:rPr>
          <w:sz w:val="24"/>
          <w:szCs w:val="24"/>
        </w:rPr>
        <w:t>https://www.scielo.br/scielo.php?pid=S1516-84842004000200005&amp;script=sci_arttext</w:t>
      </w:r>
      <w:r>
        <w:rPr>
          <w:sz w:val="24"/>
          <w:szCs w:val="24"/>
          <w:highlight w:val="white"/>
        </w:rPr>
        <w:t xml:space="preserve">&gt;. Acesso em 21 de novembro de 2021. </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CASTILHOS, Lilian, REID, Jordão P. J. M. E. </w:t>
      </w:r>
      <w:r>
        <w:rPr>
          <w:b/>
          <w:sz w:val="24"/>
          <w:szCs w:val="24"/>
          <w:highlight w:val="white"/>
        </w:rPr>
        <w:t xml:space="preserve">Fundamento de </w:t>
      </w:r>
      <w:proofErr w:type="spellStart"/>
      <w:r>
        <w:rPr>
          <w:b/>
          <w:sz w:val="24"/>
          <w:szCs w:val="24"/>
          <w:highlight w:val="white"/>
        </w:rPr>
        <w:t>Imuno-hematologia</w:t>
      </w:r>
      <w:proofErr w:type="spellEnd"/>
      <w:r>
        <w:rPr>
          <w:sz w:val="24"/>
          <w:szCs w:val="24"/>
          <w:highlight w:val="white"/>
        </w:rPr>
        <w:t>. São Paulo: Editora Atheneu, 2015.</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rPr>
        <w:t xml:space="preserve">HAMERSCHLAK, Nelson. Leucemias e Linfomas. In: CARVALHO, Vicente A., et. al., </w:t>
      </w:r>
      <w:proofErr w:type="spellStart"/>
      <w:r>
        <w:rPr>
          <w:sz w:val="24"/>
          <w:szCs w:val="24"/>
        </w:rPr>
        <w:t>Orgs</w:t>
      </w:r>
      <w:proofErr w:type="spellEnd"/>
      <w:r>
        <w:rPr>
          <w:sz w:val="24"/>
          <w:szCs w:val="24"/>
        </w:rPr>
        <w:t xml:space="preserve">(s). </w:t>
      </w:r>
      <w:r>
        <w:rPr>
          <w:b/>
          <w:sz w:val="24"/>
          <w:szCs w:val="24"/>
        </w:rPr>
        <w:t xml:space="preserve">Temas em </w:t>
      </w:r>
      <w:proofErr w:type="spellStart"/>
      <w:r>
        <w:rPr>
          <w:b/>
          <w:sz w:val="24"/>
          <w:szCs w:val="24"/>
        </w:rPr>
        <w:t>psico-oncologia</w:t>
      </w:r>
      <w:proofErr w:type="spellEnd"/>
      <w:r>
        <w:rPr>
          <w:sz w:val="24"/>
          <w:szCs w:val="24"/>
        </w:rPr>
        <w:t xml:space="preserve">. São Paulo: </w:t>
      </w:r>
      <w:proofErr w:type="spellStart"/>
      <w:r>
        <w:rPr>
          <w:sz w:val="24"/>
          <w:szCs w:val="24"/>
        </w:rPr>
        <w:t>Sammus</w:t>
      </w:r>
      <w:proofErr w:type="spellEnd"/>
      <w:r>
        <w:rPr>
          <w:sz w:val="24"/>
          <w:szCs w:val="24"/>
        </w:rPr>
        <w:t>, 2008. p. 92.</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proofErr w:type="spellStart"/>
      <w:r>
        <w:rPr>
          <w:sz w:val="24"/>
          <w:szCs w:val="24"/>
          <w:highlight w:val="white"/>
        </w:rPr>
        <w:t>Harmening</w:t>
      </w:r>
      <w:proofErr w:type="spellEnd"/>
      <w:r>
        <w:rPr>
          <w:sz w:val="24"/>
          <w:szCs w:val="24"/>
          <w:highlight w:val="white"/>
        </w:rPr>
        <w:t xml:space="preserve"> </w:t>
      </w:r>
      <w:proofErr w:type="spellStart"/>
      <w:r>
        <w:rPr>
          <w:sz w:val="24"/>
          <w:szCs w:val="24"/>
          <w:highlight w:val="white"/>
        </w:rPr>
        <w:t>Pittiglio</w:t>
      </w:r>
      <w:proofErr w:type="spellEnd"/>
      <w:r>
        <w:rPr>
          <w:sz w:val="24"/>
          <w:szCs w:val="24"/>
          <w:highlight w:val="white"/>
        </w:rPr>
        <w:t xml:space="preserve">, D., &amp; </w:t>
      </w:r>
      <w:proofErr w:type="spellStart"/>
      <w:r>
        <w:rPr>
          <w:sz w:val="24"/>
          <w:szCs w:val="24"/>
          <w:highlight w:val="white"/>
        </w:rPr>
        <w:t>Harmening</w:t>
      </w:r>
      <w:proofErr w:type="spellEnd"/>
      <w:r>
        <w:rPr>
          <w:sz w:val="24"/>
          <w:szCs w:val="24"/>
          <w:highlight w:val="white"/>
        </w:rPr>
        <w:t xml:space="preserve">, D. M. (2012). </w:t>
      </w:r>
      <w:proofErr w:type="spellStart"/>
      <w:r>
        <w:rPr>
          <w:b/>
          <w:sz w:val="24"/>
          <w:szCs w:val="24"/>
          <w:highlight w:val="white"/>
        </w:rPr>
        <w:t>Modern</w:t>
      </w:r>
      <w:proofErr w:type="spellEnd"/>
      <w:r>
        <w:rPr>
          <w:b/>
          <w:sz w:val="24"/>
          <w:szCs w:val="24"/>
          <w:highlight w:val="white"/>
        </w:rPr>
        <w:t xml:space="preserve"> </w:t>
      </w:r>
      <w:proofErr w:type="spellStart"/>
      <w:r>
        <w:rPr>
          <w:b/>
          <w:sz w:val="24"/>
          <w:szCs w:val="24"/>
          <w:highlight w:val="white"/>
        </w:rPr>
        <w:t>blood</w:t>
      </w:r>
      <w:proofErr w:type="spellEnd"/>
      <w:r>
        <w:rPr>
          <w:b/>
          <w:sz w:val="24"/>
          <w:szCs w:val="24"/>
          <w:highlight w:val="white"/>
        </w:rPr>
        <w:t xml:space="preserve"> banking &amp; </w:t>
      </w:r>
      <w:proofErr w:type="spellStart"/>
      <w:r>
        <w:rPr>
          <w:b/>
          <w:sz w:val="24"/>
          <w:szCs w:val="24"/>
          <w:highlight w:val="white"/>
        </w:rPr>
        <w:t>transfusion</w:t>
      </w:r>
      <w:proofErr w:type="spellEnd"/>
      <w:r>
        <w:rPr>
          <w:b/>
          <w:sz w:val="24"/>
          <w:szCs w:val="24"/>
          <w:highlight w:val="white"/>
        </w:rPr>
        <w:t xml:space="preserve"> </w:t>
      </w:r>
      <w:proofErr w:type="spellStart"/>
      <w:r>
        <w:rPr>
          <w:b/>
          <w:sz w:val="24"/>
          <w:szCs w:val="24"/>
          <w:highlight w:val="white"/>
        </w:rPr>
        <w:t>practices</w:t>
      </w:r>
      <w:proofErr w:type="spellEnd"/>
      <w:r>
        <w:rPr>
          <w:sz w:val="24"/>
          <w:szCs w:val="24"/>
          <w:highlight w:val="white"/>
        </w:rPr>
        <w:t xml:space="preserve"> (6o </w:t>
      </w:r>
      <w:proofErr w:type="spellStart"/>
      <w:r>
        <w:rPr>
          <w:sz w:val="24"/>
          <w:szCs w:val="24"/>
          <w:highlight w:val="white"/>
        </w:rPr>
        <w:t>ed</w:t>
      </w:r>
      <w:proofErr w:type="spellEnd"/>
      <w:r>
        <w:rPr>
          <w:sz w:val="24"/>
          <w:szCs w:val="24"/>
          <w:highlight w:val="white"/>
        </w:rPr>
        <w:t xml:space="preserve">). F. A. Davis </w:t>
      </w:r>
      <w:proofErr w:type="spellStart"/>
      <w:r>
        <w:rPr>
          <w:sz w:val="24"/>
          <w:szCs w:val="24"/>
          <w:highlight w:val="white"/>
        </w:rPr>
        <w:t>Company</w:t>
      </w:r>
      <w:proofErr w:type="spellEnd"/>
      <w:r>
        <w:rPr>
          <w:sz w:val="24"/>
          <w:szCs w:val="24"/>
          <w:highlight w:val="white"/>
        </w:rPr>
        <w:t xml:space="preserve">. </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MINISTÉRIO DA SAÚDE,</w:t>
      </w:r>
      <w:r>
        <w:rPr>
          <w:b/>
          <w:sz w:val="24"/>
          <w:szCs w:val="24"/>
          <w:highlight w:val="white"/>
        </w:rPr>
        <w:t xml:space="preserve"> </w:t>
      </w:r>
      <w:proofErr w:type="spellStart"/>
      <w:r>
        <w:rPr>
          <w:b/>
          <w:sz w:val="24"/>
          <w:szCs w:val="24"/>
          <w:highlight w:val="white"/>
        </w:rPr>
        <w:t>Imuno-hematologia</w:t>
      </w:r>
      <w:proofErr w:type="spellEnd"/>
      <w:r>
        <w:rPr>
          <w:b/>
          <w:sz w:val="24"/>
          <w:szCs w:val="24"/>
          <w:highlight w:val="white"/>
        </w:rPr>
        <w:t xml:space="preserve"> laboratorial</w:t>
      </w:r>
      <w:r>
        <w:rPr>
          <w:sz w:val="24"/>
          <w:szCs w:val="24"/>
          <w:highlight w:val="white"/>
        </w:rPr>
        <w:t>. 1ª edição. Brasília: Editora MS, 2014.</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OLIVEIRA, Luciana C. O., COZAC, </w:t>
      </w:r>
      <w:r>
        <w:rPr>
          <w:sz w:val="24"/>
          <w:szCs w:val="24"/>
          <w:highlight w:val="white"/>
        </w:rPr>
        <w:t xml:space="preserve">Ana Paula C. N. C. </w:t>
      </w:r>
      <w:r>
        <w:rPr>
          <w:b/>
          <w:sz w:val="24"/>
          <w:szCs w:val="24"/>
          <w:highlight w:val="white"/>
        </w:rPr>
        <w:t>Reações transfusionais: diagnóstico e tratamento</w:t>
      </w:r>
      <w:r>
        <w:rPr>
          <w:sz w:val="24"/>
          <w:szCs w:val="24"/>
          <w:highlight w:val="white"/>
        </w:rPr>
        <w:t>. Medicina, Ribeirão Preto, 36: 431-438, abr./dez. 2003. Disponível em: &lt;https://www.revistas.usp.br/</w:t>
      </w:r>
      <w:proofErr w:type="spellStart"/>
      <w:r>
        <w:rPr>
          <w:sz w:val="24"/>
          <w:szCs w:val="24"/>
          <w:highlight w:val="white"/>
        </w:rPr>
        <w:t>rmrp</w:t>
      </w:r>
      <w:proofErr w:type="spellEnd"/>
      <w:r>
        <w:rPr>
          <w:sz w:val="24"/>
          <w:szCs w:val="24"/>
          <w:highlight w:val="white"/>
        </w:rPr>
        <w:t>/</w:t>
      </w:r>
      <w:proofErr w:type="spellStart"/>
      <w:r>
        <w:rPr>
          <w:sz w:val="24"/>
          <w:szCs w:val="24"/>
          <w:highlight w:val="white"/>
        </w:rPr>
        <w:t>article</w:t>
      </w:r>
      <w:proofErr w:type="spellEnd"/>
      <w:r>
        <w:rPr>
          <w:sz w:val="24"/>
          <w:szCs w:val="24"/>
          <w:highlight w:val="white"/>
        </w:rPr>
        <w:t>/</w:t>
      </w:r>
      <w:proofErr w:type="spellStart"/>
      <w:r>
        <w:rPr>
          <w:sz w:val="24"/>
          <w:szCs w:val="24"/>
          <w:highlight w:val="white"/>
        </w:rPr>
        <w:t>view</w:t>
      </w:r>
      <w:proofErr w:type="spellEnd"/>
      <w:r>
        <w:rPr>
          <w:sz w:val="24"/>
          <w:szCs w:val="24"/>
          <w:highlight w:val="white"/>
        </w:rPr>
        <w:t>/758/771</w:t>
      </w:r>
      <w:proofErr w:type="gramStart"/>
      <w:r>
        <w:rPr>
          <w:sz w:val="24"/>
          <w:szCs w:val="24"/>
          <w:highlight w:val="white"/>
        </w:rPr>
        <w:t>&gt; .</w:t>
      </w:r>
      <w:proofErr w:type="gramEnd"/>
      <w:r>
        <w:rPr>
          <w:sz w:val="24"/>
          <w:szCs w:val="24"/>
          <w:highlight w:val="white"/>
        </w:rPr>
        <w:t xml:space="preserve"> Acesso em: 21 de novembro de 2021.</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OLSSON, ML et al. </w:t>
      </w:r>
      <w:r>
        <w:rPr>
          <w:b/>
          <w:sz w:val="24"/>
          <w:szCs w:val="24"/>
          <w:highlight w:val="white"/>
        </w:rPr>
        <w:t>Análi</w:t>
      </w:r>
      <w:r>
        <w:rPr>
          <w:b/>
          <w:sz w:val="24"/>
          <w:szCs w:val="24"/>
          <w:highlight w:val="white"/>
        </w:rPr>
        <w:t>se genômica de amostras clínicas com discrepâncias sorológicas de grupos sanguíneos ABO: identificação de 15 novos alelos dos subgrupos A e B</w:t>
      </w:r>
      <w:r>
        <w:rPr>
          <w:sz w:val="24"/>
          <w:szCs w:val="24"/>
          <w:highlight w:val="white"/>
        </w:rPr>
        <w:t xml:space="preserve">. </w:t>
      </w:r>
      <w:proofErr w:type="gramStart"/>
      <w:r>
        <w:rPr>
          <w:sz w:val="24"/>
          <w:szCs w:val="24"/>
          <w:highlight w:val="white"/>
        </w:rPr>
        <w:t>Sangue ,</w:t>
      </w:r>
      <w:proofErr w:type="gramEnd"/>
      <w:r>
        <w:rPr>
          <w:sz w:val="24"/>
          <w:szCs w:val="24"/>
          <w:highlight w:val="white"/>
        </w:rPr>
        <w:t xml:space="preserve"> v. 98, n. 5, pág. 1585–1593, 2001. Disponível em: &lt;</w:t>
      </w:r>
      <w:hyperlink r:id="rId13">
        <w:r>
          <w:rPr>
            <w:sz w:val="24"/>
            <w:szCs w:val="24"/>
          </w:rPr>
          <w:t>https://ashpublications.org/blood/article/98/5/1585/106072</w:t>
        </w:r>
      </w:hyperlink>
      <w:r>
        <w:rPr>
          <w:sz w:val="24"/>
          <w:szCs w:val="24"/>
          <w:highlight w:val="white"/>
        </w:rPr>
        <w:t xml:space="preserve">&gt;. Acesso em 16 de novembro de 2021.  </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RAZOUK, FH; REICHE, EMV </w:t>
      </w:r>
      <w:r>
        <w:rPr>
          <w:b/>
          <w:sz w:val="24"/>
          <w:szCs w:val="24"/>
          <w:highlight w:val="white"/>
        </w:rPr>
        <w:t>Caracterização, produção e indicação clínica dos principais hemocomponentes</w:t>
      </w:r>
      <w:r>
        <w:rPr>
          <w:sz w:val="24"/>
          <w:szCs w:val="24"/>
          <w:highlight w:val="white"/>
        </w:rPr>
        <w:t>. Revista brasileira de hematologi</w:t>
      </w:r>
      <w:r>
        <w:rPr>
          <w:sz w:val="24"/>
          <w:szCs w:val="24"/>
          <w:highlight w:val="white"/>
        </w:rPr>
        <w:t xml:space="preserve">a e </w:t>
      </w:r>
      <w:proofErr w:type="gramStart"/>
      <w:r>
        <w:rPr>
          <w:sz w:val="24"/>
          <w:szCs w:val="24"/>
          <w:highlight w:val="white"/>
        </w:rPr>
        <w:t>hemoterapia ,</w:t>
      </w:r>
      <w:proofErr w:type="gramEnd"/>
      <w:r>
        <w:rPr>
          <w:sz w:val="24"/>
          <w:szCs w:val="24"/>
          <w:highlight w:val="white"/>
        </w:rPr>
        <w:t xml:space="preserve"> v. 26, n. 2, 2004. Disponível em &lt;</w:t>
      </w:r>
      <w:hyperlink r:id="rId14">
        <w:r>
          <w:rPr>
            <w:sz w:val="24"/>
            <w:szCs w:val="24"/>
            <w:highlight w:val="white"/>
          </w:rPr>
          <w:t>https://www.scielo.br/j/rbhh/a/FrGr84KqGzB9kZVrpbGPQTL/?lang=pt&amp;format=pdf</w:t>
        </w:r>
      </w:hyperlink>
      <w:r>
        <w:rPr>
          <w:sz w:val="24"/>
          <w:szCs w:val="24"/>
          <w:highlight w:val="white"/>
        </w:rPr>
        <w:t>&gt;. Acesso em: 22 de novembro de 2021</w:t>
      </w:r>
      <w:r>
        <w:rPr>
          <w:sz w:val="24"/>
          <w:szCs w:val="24"/>
          <w:highlight w:val="white"/>
        </w:rPr>
        <w:t xml:space="preserve">. </w:t>
      </w:r>
    </w:p>
    <w:p w:rsidR="000473E3" w:rsidRDefault="000473E3">
      <w:pPr>
        <w:spacing w:line="240" w:lineRule="auto"/>
        <w:rPr>
          <w:sz w:val="24"/>
          <w:szCs w:val="24"/>
          <w:highlight w:val="white"/>
        </w:rPr>
      </w:pPr>
    </w:p>
    <w:p w:rsidR="000473E3" w:rsidRDefault="00A651A6">
      <w:pPr>
        <w:spacing w:line="240" w:lineRule="auto"/>
        <w:rPr>
          <w:sz w:val="24"/>
          <w:szCs w:val="24"/>
          <w:highlight w:val="white"/>
        </w:rPr>
      </w:pPr>
      <w:r>
        <w:rPr>
          <w:sz w:val="24"/>
          <w:szCs w:val="24"/>
          <w:highlight w:val="white"/>
        </w:rPr>
        <w:t xml:space="preserve">RODRIGUES, Andrea B., OLIVEIRA, Patrícia P. </w:t>
      </w:r>
      <w:r>
        <w:rPr>
          <w:b/>
          <w:sz w:val="24"/>
          <w:szCs w:val="24"/>
          <w:highlight w:val="white"/>
        </w:rPr>
        <w:t>Hemoterapia e Hematologia: Conceitos essenciais para a assistência</w:t>
      </w:r>
      <w:r>
        <w:rPr>
          <w:sz w:val="24"/>
          <w:szCs w:val="24"/>
          <w:highlight w:val="white"/>
        </w:rPr>
        <w:t xml:space="preserve">. São Paulo: Editora </w:t>
      </w:r>
      <w:proofErr w:type="spellStart"/>
      <w:r>
        <w:rPr>
          <w:sz w:val="24"/>
          <w:szCs w:val="24"/>
          <w:highlight w:val="white"/>
        </w:rPr>
        <w:t>Rideel</w:t>
      </w:r>
      <w:proofErr w:type="spellEnd"/>
      <w:r>
        <w:rPr>
          <w:sz w:val="24"/>
          <w:szCs w:val="24"/>
          <w:highlight w:val="white"/>
        </w:rPr>
        <w:t>, 2017.</w:t>
      </w:r>
    </w:p>
    <w:p w:rsidR="000473E3" w:rsidRDefault="000473E3">
      <w:pPr>
        <w:spacing w:line="240" w:lineRule="auto"/>
        <w:rPr>
          <w:sz w:val="24"/>
          <w:szCs w:val="24"/>
          <w:highlight w:val="white"/>
        </w:rPr>
      </w:pPr>
    </w:p>
    <w:p w:rsidR="000473E3" w:rsidRDefault="000473E3">
      <w:pPr>
        <w:rPr>
          <w:sz w:val="24"/>
          <w:szCs w:val="24"/>
        </w:rPr>
      </w:pPr>
    </w:p>
    <w:p w:rsidR="000473E3" w:rsidRDefault="000473E3">
      <w:pPr>
        <w:spacing w:line="360" w:lineRule="auto"/>
        <w:rPr>
          <w:sz w:val="24"/>
          <w:szCs w:val="24"/>
          <w:highlight w:val="white"/>
        </w:rPr>
      </w:pPr>
    </w:p>
    <w:sectPr w:rsidR="000473E3">
      <w:type w:val="continuous"/>
      <w:pgSz w:w="11906" w:h="16838"/>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1A6" w:rsidRDefault="00A651A6">
      <w:pPr>
        <w:spacing w:line="240" w:lineRule="auto"/>
      </w:pPr>
      <w:r>
        <w:separator/>
      </w:r>
    </w:p>
  </w:endnote>
  <w:endnote w:type="continuationSeparator" w:id="0">
    <w:p w:rsidR="00A651A6" w:rsidRDefault="00A65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1A6" w:rsidRDefault="00A651A6">
      <w:pPr>
        <w:spacing w:line="240" w:lineRule="auto"/>
      </w:pPr>
      <w:r>
        <w:separator/>
      </w:r>
    </w:p>
  </w:footnote>
  <w:footnote w:type="continuationSeparator" w:id="0">
    <w:p w:rsidR="00A651A6" w:rsidRDefault="00A651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E3" w:rsidRDefault="000473E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E3" w:rsidRDefault="000473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E3"/>
    <w:rsid w:val="000473E3"/>
    <w:rsid w:val="0092125F"/>
    <w:rsid w:val="00A65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21254-F8AF-4D8E-885F-9DCB8DFE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B18"/>
  </w:style>
  <w:style w:type="paragraph" w:styleId="Ttulo1">
    <w:name w:val="heading 1"/>
    <w:basedOn w:val="Normal"/>
    <w:next w:val="Normal"/>
    <w:uiPriority w:val="9"/>
    <w:qFormat/>
    <w:rsid w:val="00D97B18"/>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D97B18"/>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D97B18"/>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D97B18"/>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D97B18"/>
    <w:pPr>
      <w:keepNext/>
      <w:keepLines/>
      <w:spacing w:before="240" w:after="80"/>
      <w:outlineLvl w:val="4"/>
    </w:pPr>
    <w:rPr>
      <w:color w:val="666666"/>
    </w:rPr>
  </w:style>
  <w:style w:type="paragraph" w:styleId="Ttulo6">
    <w:name w:val="heading 6"/>
    <w:basedOn w:val="Normal"/>
    <w:next w:val="Normal"/>
    <w:uiPriority w:val="9"/>
    <w:semiHidden/>
    <w:unhideWhenUsed/>
    <w:qFormat/>
    <w:rsid w:val="00D97B18"/>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D97B18"/>
    <w:pPr>
      <w:keepNext/>
      <w:keepLines/>
      <w:spacing w:after="60"/>
    </w:pPr>
    <w:rPr>
      <w:sz w:val="52"/>
      <w:szCs w:val="52"/>
    </w:rPr>
  </w:style>
  <w:style w:type="table" w:customStyle="1" w:styleId="TableNormal0">
    <w:name w:val="Table Normal"/>
    <w:rsid w:val="00D97B18"/>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rsid w:val="00D97B18"/>
    <w:tblPr>
      <w:tblStyleRowBandSize w:val="1"/>
      <w:tblStyleColBandSize w:val="1"/>
      <w:tblCellMar>
        <w:left w:w="108" w:type="dxa"/>
        <w:right w:w="108" w:type="dxa"/>
      </w:tblCellMar>
    </w:tblPr>
  </w:style>
  <w:style w:type="table" w:customStyle="1" w:styleId="a0">
    <w:basedOn w:val="TableNormal0"/>
    <w:rsid w:val="00D97B18"/>
    <w:tblPr>
      <w:tblStyleRowBandSize w:val="1"/>
      <w:tblStyleColBandSize w:val="1"/>
      <w:tblCellMar>
        <w:top w:w="100" w:type="dxa"/>
        <w:left w:w="100" w:type="dxa"/>
        <w:bottom w:w="100" w:type="dxa"/>
        <w:right w:w="100" w:type="dxa"/>
      </w:tblCellMar>
    </w:tblPr>
  </w:style>
  <w:style w:type="table" w:customStyle="1" w:styleId="a1">
    <w:basedOn w:val="TableNormal0"/>
    <w:rsid w:val="00D97B18"/>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D97B1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7B18"/>
    <w:rPr>
      <w:sz w:val="20"/>
      <w:szCs w:val="20"/>
    </w:rPr>
  </w:style>
  <w:style w:type="character" w:styleId="Refdecomentrio">
    <w:name w:val="annotation reference"/>
    <w:basedOn w:val="Fontepargpadro"/>
    <w:uiPriority w:val="99"/>
    <w:semiHidden/>
    <w:unhideWhenUsed/>
    <w:rsid w:val="00D97B18"/>
    <w:rPr>
      <w:sz w:val="16"/>
      <w:szCs w:val="16"/>
    </w:rPr>
  </w:style>
  <w:style w:type="paragraph" w:styleId="Assuntodocomentrio">
    <w:name w:val="annotation subject"/>
    <w:basedOn w:val="Textodecomentrio"/>
    <w:next w:val="Textodecomentrio"/>
    <w:link w:val="AssuntodocomentrioChar"/>
    <w:uiPriority w:val="99"/>
    <w:semiHidden/>
    <w:unhideWhenUsed/>
    <w:rsid w:val="000E4F36"/>
    <w:rPr>
      <w:b/>
      <w:bCs/>
    </w:rPr>
  </w:style>
  <w:style w:type="character" w:customStyle="1" w:styleId="AssuntodocomentrioChar">
    <w:name w:val="Assunto do comentário Char"/>
    <w:basedOn w:val="TextodecomentrioChar"/>
    <w:link w:val="Assuntodocomentrio"/>
    <w:uiPriority w:val="99"/>
    <w:semiHidden/>
    <w:rsid w:val="000E4F36"/>
    <w:rPr>
      <w:b/>
      <w:bCs/>
      <w:sz w:val="20"/>
      <w:szCs w:val="20"/>
    </w:rPr>
  </w:style>
  <w:style w:type="paragraph" w:styleId="Textodebalo">
    <w:name w:val="Balloon Text"/>
    <w:basedOn w:val="Normal"/>
    <w:link w:val="TextodebaloChar"/>
    <w:uiPriority w:val="99"/>
    <w:semiHidden/>
    <w:unhideWhenUsed/>
    <w:rsid w:val="000E4F3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E4F36"/>
    <w:rPr>
      <w:rFonts w:ascii="Tahoma" w:hAnsi="Tahoma" w:cs="Tahoma"/>
      <w:sz w:val="16"/>
      <w:szCs w:val="16"/>
    </w:r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roline.salva@universo.univates.br" TargetMode="External"/><Relationship Id="rId13" Type="http://schemas.openxmlformats.org/officeDocument/2006/relationships/hyperlink" Target="https://ashpublications.org/blood/article/98/5/1585/106072" TargetMode="External"/><Relationship Id="rId3" Type="http://schemas.openxmlformats.org/officeDocument/2006/relationships/settings" Target="settings.xml"/><Relationship Id="rId7" Type="http://schemas.openxmlformats.org/officeDocument/2006/relationships/hyperlink" Target="mailto:caroline.salva@universo.univates.br"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cielo.br/j/rbhh/a/FrGr84KqGzB9kZVrpbGPQTL/?lang=pt&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Fq9BNPgf7Aqn5weuk2PsGtvpFw==">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3375</Words>
  <Characters>18231</Characters>
  <Application>Microsoft Office Word</Application>
  <DocSecurity>0</DocSecurity>
  <Lines>151</Lines>
  <Paragraphs>43</Paragraphs>
  <ScaleCrop>false</ScaleCrop>
  <Company>Univates</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2021-11-23T15:58:00Z</dcterms:created>
  <dcterms:modified xsi:type="dcterms:W3CDTF">2022-08-02T20:08:00Z</dcterms:modified>
</cp:coreProperties>
</file>