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CC" w:rsidRPr="00C46B0A" w:rsidRDefault="00C46B0A" w:rsidP="00C46B0A">
      <w:pPr>
        <w:jc w:val="center"/>
        <w:rPr>
          <w:b/>
        </w:rPr>
      </w:pPr>
      <w:r w:rsidRPr="00C46B0A">
        <w:rPr>
          <w:b/>
        </w:rPr>
        <w:t>EMENTA</w:t>
      </w:r>
    </w:p>
    <w:p w:rsidR="00C46B0A" w:rsidRDefault="00C46B0A" w:rsidP="00C46B0A">
      <w:pPr>
        <w:rPr>
          <w:b/>
        </w:rPr>
      </w:pPr>
      <w:r w:rsidRPr="00C46B0A">
        <w:rPr>
          <w:b/>
        </w:rPr>
        <w:t xml:space="preserve">COMPONENTE CURRICULAR: </w:t>
      </w:r>
      <w:r w:rsidR="00A45E96">
        <w:rPr>
          <w:b/>
        </w:rPr>
        <w:t>NUTRIÇÃO CLÍNICA</w:t>
      </w:r>
      <w:r w:rsidRPr="00C46B0A">
        <w:rPr>
          <w:b/>
        </w:rPr>
        <w:br/>
        <w:t>CARGA HORÁRIA:</w:t>
      </w:r>
      <w:r w:rsidR="00A45E96">
        <w:rPr>
          <w:b/>
        </w:rPr>
        <w:t xml:space="preserve"> 3</w:t>
      </w:r>
      <w:r w:rsidR="009E29E6">
        <w:rPr>
          <w:b/>
        </w:rPr>
        <w:t xml:space="preserve">0 </w:t>
      </w:r>
      <w:r w:rsidRPr="00C46B0A">
        <w:rPr>
          <w:b/>
        </w:rPr>
        <w:t>HORAS</w:t>
      </w:r>
      <w:r>
        <w:rPr>
          <w:b/>
        </w:rPr>
        <w:br/>
      </w:r>
    </w:p>
    <w:p w:rsidR="00C46B0A" w:rsidRPr="00C46B0A" w:rsidRDefault="00C46B0A" w:rsidP="00C46B0A">
      <w:pPr>
        <w:spacing w:before="240" w:after="240"/>
        <w:jc w:val="both"/>
        <w:rPr>
          <w:b/>
          <w:u w:val="single"/>
        </w:rPr>
      </w:pPr>
      <w:r w:rsidRPr="00C46B0A">
        <w:rPr>
          <w:b/>
          <w:u w:val="single"/>
        </w:rPr>
        <w:t>Competência:</w:t>
      </w:r>
    </w:p>
    <w:p w:rsidR="00C46B0A" w:rsidRPr="00C46B0A" w:rsidRDefault="00A45E96" w:rsidP="00860C77">
      <w:pPr>
        <w:pStyle w:val="PargrafodaLista"/>
        <w:numPr>
          <w:ilvl w:val="0"/>
          <w:numId w:val="1"/>
        </w:numPr>
        <w:spacing w:before="240" w:after="240"/>
        <w:jc w:val="both"/>
      </w:pPr>
      <w:r w:rsidRPr="00232189">
        <w:rPr>
          <w:rFonts w:ascii="Calibri" w:hAnsi="Calibri" w:cs="Calibri"/>
        </w:rPr>
        <w:t xml:space="preserve">Administrar </w:t>
      </w:r>
      <w:proofErr w:type="spellStart"/>
      <w:r w:rsidRPr="00232189">
        <w:rPr>
          <w:rFonts w:ascii="Calibri" w:hAnsi="Calibri" w:cs="Calibri"/>
        </w:rPr>
        <w:t>dietoterapia</w:t>
      </w:r>
      <w:proofErr w:type="spellEnd"/>
      <w:r w:rsidRPr="00232189">
        <w:rPr>
          <w:rFonts w:ascii="Calibri" w:hAnsi="Calibri" w:cs="Calibri"/>
        </w:rPr>
        <w:t xml:space="preserve"> nas diferentes formas conforme a patologia</w:t>
      </w:r>
      <w:r w:rsidR="00C46B0A" w:rsidRPr="0008155A">
        <w:t>.</w:t>
      </w:r>
    </w:p>
    <w:p w:rsidR="00C46B0A" w:rsidRPr="00C46B0A" w:rsidRDefault="00C46B0A" w:rsidP="00C46B0A">
      <w:pPr>
        <w:spacing w:before="240" w:after="240"/>
        <w:jc w:val="both"/>
        <w:rPr>
          <w:b/>
          <w:u w:val="single"/>
        </w:rPr>
      </w:pPr>
      <w:r w:rsidRPr="00C46B0A">
        <w:rPr>
          <w:b/>
          <w:u w:val="single"/>
        </w:rPr>
        <w:t>Conhecimentos:</w:t>
      </w:r>
    </w:p>
    <w:p w:rsidR="00A45E96" w:rsidRPr="00232189" w:rsidRDefault="00A45E96" w:rsidP="00A45E96">
      <w:pPr>
        <w:pStyle w:val="PargrafodaLista"/>
        <w:numPr>
          <w:ilvl w:val="0"/>
          <w:numId w:val="1"/>
        </w:numPr>
        <w:spacing w:before="240" w:after="240"/>
        <w:jc w:val="both"/>
        <w:rPr>
          <w:rFonts w:ascii="Calibri" w:hAnsi="Calibri" w:cs="Calibri"/>
        </w:rPr>
      </w:pPr>
      <w:r w:rsidRPr="00232189">
        <w:rPr>
          <w:rFonts w:ascii="Calibri" w:hAnsi="Calibri" w:cs="Calibri"/>
        </w:rPr>
        <w:t>Introdução à nutrição: Conceitos Básicos.</w:t>
      </w:r>
    </w:p>
    <w:p w:rsidR="00A45E96" w:rsidRPr="00232189" w:rsidRDefault="00A45E96" w:rsidP="00A45E96">
      <w:pPr>
        <w:pStyle w:val="PargrafodaLista"/>
        <w:numPr>
          <w:ilvl w:val="0"/>
          <w:numId w:val="1"/>
        </w:numPr>
        <w:spacing w:before="240" w:after="240"/>
        <w:jc w:val="both"/>
        <w:rPr>
          <w:rFonts w:ascii="Calibri" w:hAnsi="Calibri" w:cs="Calibri"/>
        </w:rPr>
      </w:pPr>
      <w:r w:rsidRPr="00232189">
        <w:rPr>
          <w:rFonts w:ascii="Calibri" w:hAnsi="Calibri" w:cs="Calibri"/>
        </w:rPr>
        <w:t>Conceito de dietas a nível hospitalar.</w:t>
      </w:r>
    </w:p>
    <w:p w:rsidR="00A45E96" w:rsidRPr="00232189" w:rsidRDefault="00A45E96" w:rsidP="00A45E96">
      <w:pPr>
        <w:pStyle w:val="PargrafodaLista"/>
        <w:numPr>
          <w:ilvl w:val="0"/>
          <w:numId w:val="1"/>
        </w:numPr>
        <w:spacing w:before="240" w:after="240"/>
        <w:jc w:val="both"/>
        <w:rPr>
          <w:rFonts w:ascii="Calibri" w:hAnsi="Calibri" w:cs="Calibri"/>
        </w:rPr>
      </w:pPr>
      <w:r w:rsidRPr="00232189">
        <w:rPr>
          <w:rFonts w:ascii="Calibri" w:hAnsi="Calibri" w:cs="Calibri"/>
        </w:rPr>
        <w:t>Tipos de dietas.</w:t>
      </w:r>
    </w:p>
    <w:p w:rsidR="00A45E96" w:rsidRPr="00232189" w:rsidRDefault="00A45E96" w:rsidP="00A45E96">
      <w:pPr>
        <w:pStyle w:val="PargrafodaLista"/>
        <w:numPr>
          <w:ilvl w:val="0"/>
          <w:numId w:val="1"/>
        </w:numPr>
        <w:spacing w:before="240" w:after="240"/>
        <w:jc w:val="both"/>
        <w:rPr>
          <w:rFonts w:ascii="Calibri" w:hAnsi="Calibri" w:cs="Calibri"/>
        </w:rPr>
      </w:pPr>
      <w:r w:rsidRPr="00232189">
        <w:rPr>
          <w:rFonts w:ascii="Calibri" w:hAnsi="Calibri" w:cs="Calibri"/>
        </w:rPr>
        <w:t>Classificação dos alimentos.</w:t>
      </w:r>
    </w:p>
    <w:p w:rsidR="00A45E96" w:rsidRPr="00232189" w:rsidRDefault="00A45E96" w:rsidP="00A45E96">
      <w:pPr>
        <w:pStyle w:val="PargrafodaLista"/>
        <w:numPr>
          <w:ilvl w:val="0"/>
          <w:numId w:val="1"/>
        </w:numPr>
        <w:spacing w:before="240" w:after="240"/>
        <w:jc w:val="both"/>
        <w:rPr>
          <w:rFonts w:ascii="Calibri" w:hAnsi="Calibri" w:cs="Calibri"/>
        </w:rPr>
      </w:pPr>
      <w:r w:rsidRPr="00232189">
        <w:rPr>
          <w:rFonts w:ascii="Calibri" w:hAnsi="Calibri" w:cs="Calibri"/>
        </w:rPr>
        <w:t>Higiene para manipulação de alimentos.</w:t>
      </w:r>
    </w:p>
    <w:p w:rsidR="00A45E96" w:rsidRPr="00A45E96" w:rsidRDefault="00A45E96" w:rsidP="00A45E96">
      <w:pPr>
        <w:pStyle w:val="PargrafodaLista"/>
        <w:numPr>
          <w:ilvl w:val="0"/>
          <w:numId w:val="1"/>
        </w:numPr>
        <w:spacing w:before="240" w:after="240"/>
        <w:jc w:val="both"/>
        <w:rPr>
          <w:rFonts w:ascii="Calibri" w:hAnsi="Calibri" w:cs="Calibri"/>
        </w:rPr>
      </w:pPr>
      <w:r w:rsidRPr="00A45E96">
        <w:rPr>
          <w:rFonts w:ascii="Calibri" w:hAnsi="Calibri" w:cs="Calibri"/>
        </w:rPr>
        <w:t>Fontes de contaminação dos alimentos.</w:t>
      </w:r>
    </w:p>
    <w:p w:rsidR="003E50BF" w:rsidRPr="00A45E96" w:rsidRDefault="00A45E96" w:rsidP="00A45E96">
      <w:pPr>
        <w:pStyle w:val="PargrafodaLista"/>
        <w:numPr>
          <w:ilvl w:val="0"/>
          <w:numId w:val="1"/>
        </w:numPr>
        <w:spacing w:before="240" w:after="240"/>
        <w:jc w:val="both"/>
        <w:rPr>
          <w:rFonts w:ascii="Calibri" w:hAnsi="Calibri" w:cs="Calibri"/>
        </w:rPr>
      </w:pPr>
      <w:r w:rsidRPr="00A45E96">
        <w:rPr>
          <w:rFonts w:ascii="Calibri" w:hAnsi="Calibri" w:cs="Calibri"/>
        </w:rPr>
        <w:t>Cuidados na administração da alimentação enteral e parenteral</w:t>
      </w:r>
      <w:r w:rsidR="003E50BF" w:rsidRPr="00A45E96">
        <w:rPr>
          <w:rFonts w:ascii="Calibri" w:hAnsi="Calibri" w:cs="Calibri"/>
        </w:rPr>
        <w:t>.</w:t>
      </w:r>
    </w:p>
    <w:p w:rsidR="00C46B0A" w:rsidRPr="00C46B0A" w:rsidRDefault="00C46B0A" w:rsidP="003E50BF">
      <w:pPr>
        <w:pStyle w:val="PargrafodaLista"/>
        <w:spacing w:before="240" w:after="240"/>
        <w:ind w:left="360"/>
        <w:jc w:val="both"/>
      </w:pPr>
    </w:p>
    <w:p w:rsidR="00C46B0A" w:rsidRPr="00C46B0A" w:rsidRDefault="00C46B0A" w:rsidP="00C46B0A">
      <w:pPr>
        <w:spacing w:before="240" w:after="240"/>
        <w:jc w:val="both"/>
        <w:rPr>
          <w:b/>
          <w:u w:val="single"/>
        </w:rPr>
      </w:pPr>
      <w:r w:rsidRPr="00C46B0A">
        <w:rPr>
          <w:b/>
          <w:u w:val="single"/>
        </w:rPr>
        <w:t>Habilidades:</w:t>
      </w:r>
    </w:p>
    <w:p w:rsidR="00C46B0A" w:rsidRPr="00C46B0A" w:rsidRDefault="00A45E96" w:rsidP="00387398">
      <w:pPr>
        <w:pStyle w:val="PargrafodaLista"/>
        <w:numPr>
          <w:ilvl w:val="0"/>
          <w:numId w:val="2"/>
        </w:numPr>
        <w:spacing w:before="240" w:after="240"/>
        <w:jc w:val="both"/>
      </w:pPr>
      <w:r w:rsidRPr="00232189">
        <w:rPr>
          <w:rFonts w:ascii="Calibri" w:hAnsi="Calibri" w:cs="Calibri"/>
        </w:rPr>
        <w:t>Compreender as diversas formas de dietas e a maneira de administrá-la conforme faixa etária e patologia</w:t>
      </w:r>
      <w:r w:rsidR="003E50BF">
        <w:t>.</w:t>
      </w:r>
    </w:p>
    <w:p w:rsidR="00C46B0A" w:rsidRPr="00C46B0A" w:rsidRDefault="00C46B0A" w:rsidP="00C46B0A">
      <w:pPr>
        <w:spacing w:before="240" w:after="240"/>
        <w:jc w:val="both"/>
        <w:rPr>
          <w:b/>
          <w:u w:val="single"/>
        </w:rPr>
      </w:pPr>
      <w:r w:rsidRPr="00C46B0A">
        <w:rPr>
          <w:b/>
          <w:u w:val="single"/>
        </w:rPr>
        <w:t>Avaliação:</w:t>
      </w:r>
    </w:p>
    <w:p w:rsidR="00C46B0A" w:rsidRPr="00193FF4" w:rsidRDefault="00C46B0A" w:rsidP="00C46B0A">
      <w:pPr>
        <w:spacing w:before="240" w:after="240"/>
        <w:jc w:val="both"/>
      </w:pPr>
      <w:r w:rsidRPr="00193FF4">
        <w:t>O resultado do processo de avaliação é expresso com as seguintes menções:</w:t>
      </w:r>
    </w:p>
    <w:p w:rsidR="00C46B0A" w:rsidRPr="00193FF4" w:rsidRDefault="00C46B0A" w:rsidP="00C46B0A">
      <w:pPr>
        <w:spacing w:before="240" w:after="0"/>
        <w:ind w:left="708"/>
        <w:jc w:val="both"/>
      </w:pPr>
      <w:r w:rsidRPr="00193FF4">
        <w:t xml:space="preserve">A – Quando o </w:t>
      </w:r>
      <w:r>
        <w:t>aluno</w:t>
      </w:r>
      <w:r w:rsidRPr="00193FF4">
        <w:t xml:space="preserve"> evidenciou com excelência a apropriação das competências propostas e demonstra total comprometimento com a assiduidade, participação, pontualidade/qualidade na entrega dos trabalhos; apresenta atitudes que se destacam nos aspectos referentes ao relacionamento interpessoal, a habilidade de trabalhar em grupo, negociar/administrar conflitos, criatividade e liderança, superando as competências exigidas no componente curricular.</w:t>
      </w:r>
    </w:p>
    <w:p w:rsidR="00C46B0A" w:rsidRPr="00193FF4" w:rsidRDefault="00C46B0A" w:rsidP="00C46B0A">
      <w:pPr>
        <w:spacing w:after="0"/>
        <w:ind w:left="708"/>
        <w:jc w:val="both"/>
      </w:pPr>
      <w:r w:rsidRPr="00193FF4">
        <w:t xml:space="preserve">B – Quando o </w:t>
      </w:r>
      <w:r>
        <w:t>aluno</w:t>
      </w:r>
      <w:r w:rsidRPr="00193FF4">
        <w:t xml:space="preserve"> evidenciou a apropriação das competências propostas, demonstra assiduidade, participação, pontualidade na entrega dos trabalhos no componente curricular.</w:t>
      </w:r>
    </w:p>
    <w:p w:rsidR="00C46B0A" w:rsidRPr="00193FF4" w:rsidRDefault="00C46B0A" w:rsidP="00C46B0A">
      <w:pPr>
        <w:spacing w:after="0"/>
        <w:ind w:left="708"/>
        <w:jc w:val="both"/>
      </w:pPr>
      <w:r w:rsidRPr="00193FF4">
        <w:t xml:space="preserve">C – Quando o </w:t>
      </w:r>
      <w:r>
        <w:t>aluno</w:t>
      </w:r>
      <w:r w:rsidRPr="00193FF4">
        <w:t xml:space="preserve"> evidenciou, no mínimo, a apropriação das competências relevantes exigidas no componente curricular.</w:t>
      </w:r>
    </w:p>
    <w:p w:rsidR="00C46B0A" w:rsidRDefault="00C46B0A" w:rsidP="00C46B0A">
      <w:pPr>
        <w:spacing w:after="240"/>
        <w:ind w:left="708"/>
        <w:jc w:val="both"/>
      </w:pPr>
      <w:r w:rsidRPr="00193FF4">
        <w:t>D – Qu</w:t>
      </w:r>
      <w:bookmarkStart w:id="0" w:name="_GoBack"/>
      <w:bookmarkEnd w:id="0"/>
      <w:r w:rsidRPr="00193FF4">
        <w:t xml:space="preserve">ando o </w:t>
      </w:r>
      <w:r>
        <w:t>aluno</w:t>
      </w:r>
      <w:r w:rsidRPr="00193FF4">
        <w:t xml:space="preserve"> não apropriou as competências previstas no componente curricular.</w:t>
      </w:r>
    </w:p>
    <w:p w:rsidR="00C46B0A" w:rsidRDefault="00C46B0A" w:rsidP="00C46B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AD4B77">
        <w:rPr>
          <w:rFonts w:cstheme="minorHAnsi"/>
          <w:b/>
          <w:u w:val="single"/>
        </w:rPr>
        <w:t>Bibliografia Básica:</w:t>
      </w:r>
    </w:p>
    <w:p w:rsidR="003E50BF" w:rsidRPr="008B6D63" w:rsidRDefault="003E50BF" w:rsidP="003E50BF">
      <w:pPr>
        <w:spacing w:after="0" w:line="240" w:lineRule="auto"/>
        <w:jc w:val="both"/>
        <w:rPr>
          <w:rFonts w:cstheme="minorHAnsi"/>
          <w:u w:val="single"/>
        </w:rPr>
      </w:pPr>
    </w:p>
    <w:p w:rsidR="00A45E96" w:rsidRPr="00A45E96" w:rsidRDefault="00A45E96" w:rsidP="00A45E96">
      <w:pPr>
        <w:pStyle w:val="PargrafodaLista"/>
        <w:numPr>
          <w:ilvl w:val="0"/>
          <w:numId w:val="6"/>
        </w:numPr>
        <w:spacing w:after="0"/>
        <w:ind w:left="426" w:hanging="437"/>
        <w:rPr>
          <w:rFonts w:cs="Arial"/>
        </w:rPr>
      </w:pPr>
      <w:r w:rsidRPr="00A45E96">
        <w:rPr>
          <w:rFonts w:eastAsia="MS Mincho" w:cs="Calibri"/>
        </w:rPr>
        <w:t xml:space="preserve">CARUSO, Lúcia; SIMONY, Rosana Farah; SILVA, Ana Lúcia Neves Duarte </w:t>
      </w:r>
      <w:proofErr w:type="gramStart"/>
      <w:r w:rsidRPr="00A45E96">
        <w:rPr>
          <w:rFonts w:eastAsia="MS Mincho" w:cs="Calibri"/>
        </w:rPr>
        <w:t>da.</w:t>
      </w:r>
      <w:proofErr w:type="gramEnd"/>
      <w:r w:rsidRPr="00A45E96">
        <w:rPr>
          <w:rFonts w:eastAsia="MS Mincho" w:cs="Calibri"/>
        </w:rPr>
        <w:t xml:space="preserve"> </w:t>
      </w:r>
      <w:r w:rsidRPr="00A45E96">
        <w:rPr>
          <w:rFonts w:eastAsia="MS Mincho" w:cs="Calibri"/>
          <w:b/>
        </w:rPr>
        <w:t>Dietas Hospitalares uma abordagem na prática Clínica</w:t>
      </w:r>
      <w:r w:rsidRPr="00A45E96">
        <w:rPr>
          <w:rFonts w:eastAsia="MS Mincho" w:cs="Calibri"/>
        </w:rPr>
        <w:t>. São Paulo: Atheneu, 2004.</w:t>
      </w:r>
    </w:p>
    <w:p w:rsidR="00A45E96" w:rsidRPr="00A45E96" w:rsidRDefault="00A45E96" w:rsidP="00A45E96">
      <w:pPr>
        <w:pStyle w:val="PargrafodaLista"/>
        <w:numPr>
          <w:ilvl w:val="0"/>
          <w:numId w:val="6"/>
        </w:numPr>
        <w:spacing w:after="0"/>
        <w:ind w:left="426" w:hanging="437"/>
        <w:rPr>
          <w:rFonts w:cs="Arial"/>
        </w:rPr>
      </w:pPr>
      <w:r w:rsidRPr="00A45E96">
        <w:rPr>
          <w:rFonts w:eastAsia="MS Mincho" w:cs="Calibri"/>
        </w:rPr>
        <w:lastRenderedPageBreak/>
        <w:t xml:space="preserve">DOUGLAS, Carlos Roberto. </w:t>
      </w:r>
      <w:r w:rsidRPr="00A45E96">
        <w:rPr>
          <w:rFonts w:eastAsia="MS Mincho" w:cs="Calibri"/>
          <w:b/>
        </w:rPr>
        <w:t>Tratado de Fisiologia aplicada a Nutrição</w:t>
      </w:r>
      <w:r w:rsidRPr="00A45E96">
        <w:rPr>
          <w:rFonts w:eastAsia="MS Mincho" w:cs="Calibri"/>
        </w:rPr>
        <w:t>. São Paulo: Robe, 2002.</w:t>
      </w:r>
    </w:p>
    <w:p w:rsidR="00A45E96" w:rsidRPr="00A45E96" w:rsidRDefault="00A45E96" w:rsidP="00A45E96">
      <w:pPr>
        <w:pStyle w:val="PargrafodaLista"/>
        <w:numPr>
          <w:ilvl w:val="0"/>
          <w:numId w:val="6"/>
        </w:numPr>
        <w:spacing w:after="0"/>
        <w:ind w:left="426" w:hanging="437"/>
        <w:rPr>
          <w:rFonts w:cs="Arial"/>
        </w:rPr>
      </w:pPr>
      <w:r w:rsidRPr="00A45E96">
        <w:rPr>
          <w:rFonts w:eastAsia="MS Mincho" w:cs="Calibri"/>
        </w:rPr>
        <w:t xml:space="preserve">EVANGELISTA, José. </w:t>
      </w:r>
      <w:r w:rsidRPr="00A45E96">
        <w:rPr>
          <w:rFonts w:eastAsia="MS Mincho" w:cs="Calibri"/>
          <w:b/>
        </w:rPr>
        <w:t>Alimentos – Um estudo abrangente</w:t>
      </w:r>
      <w:r w:rsidRPr="00A45E96">
        <w:rPr>
          <w:rFonts w:eastAsia="MS Mincho" w:cs="Calibri"/>
        </w:rPr>
        <w:t>. São Paulo: Atheneu, 2000.</w:t>
      </w:r>
    </w:p>
    <w:p w:rsidR="00A45E96" w:rsidRPr="00A45E96" w:rsidRDefault="00A45E96" w:rsidP="00A45E96">
      <w:pPr>
        <w:pStyle w:val="PargrafodaLista"/>
        <w:numPr>
          <w:ilvl w:val="0"/>
          <w:numId w:val="6"/>
        </w:numPr>
        <w:spacing w:after="0"/>
        <w:ind w:left="426" w:hanging="437"/>
        <w:rPr>
          <w:rFonts w:cs="Arial"/>
        </w:rPr>
      </w:pPr>
      <w:r w:rsidRPr="00A45E96">
        <w:rPr>
          <w:rFonts w:eastAsia="MS Mincho" w:cs="Calibri"/>
        </w:rPr>
        <w:t xml:space="preserve">GERMANO, Pedro Manuel Leal. </w:t>
      </w:r>
      <w:r w:rsidRPr="00A45E96">
        <w:rPr>
          <w:rFonts w:eastAsia="MS Mincho" w:cs="Calibri"/>
          <w:b/>
        </w:rPr>
        <w:t>Higiene e Vigilância Sanitária de Alimentos</w:t>
      </w:r>
      <w:r w:rsidRPr="00A45E96">
        <w:rPr>
          <w:rFonts w:eastAsia="MS Mincho" w:cs="Calibri"/>
        </w:rPr>
        <w:t>. São Paulo: Varela, 2001.</w:t>
      </w:r>
    </w:p>
    <w:p w:rsidR="00A45E96" w:rsidRPr="00A45E96" w:rsidRDefault="00A45E96" w:rsidP="00A45E96">
      <w:pPr>
        <w:pStyle w:val="PargrafodaLista"/>
        <w:numPr>
          <w:ilvl w:val="0"/>
          <w:numId w:val="6"/>
        </w:numPr>
        <w:spacing w:after="0"/>
        <w:ind w:left="426" w:hanging="437"/>
        <w:rPr>
          <w:rFonts w:cs="Arial"/>
        </w:rPr>
      </w:pPr>
      <w:r w:rsidRPr="00A45E96">
        <w:rPr>
          <w:rFonts w:eastAsia="MS Mincho" w:cs="Calibri"/>
        </w:rPr>
        <w:t xml:space="preserve">LEME, Álvaro. </w:t>
      </w:r>
      <w:r w:rsidRPr="00A45E96">
        <w:rPr>
          <w:rFonts w:eastAsia="MS Mincho" w:cs="Calibri"/>
          <w:b/>
        </w:rPr>
        <w:t>Guia Completo de Nutrição</w:t>
      </w:r>
      <w:r w:rsidRPr="00A45E96">
        <w:rPr>
          <w:rFonts w:eastAsia="MS Mincho" w:cs="Calibri"/>
        </w:rPr>
        <w:t>. São Paulo: Abril, 2005.</w:t>
      </w:r>
    </w:p>
    <w:p w:rsidR="00A45E96" w:rsidRPr="00A45E96" w:rsidRDefault="00A45E96" w:rsidP="00A45E96">
      <w:pPr>
        <w:pStyle w:val="PargrafodaLista"/>
        <w:numPr>
          <w:ilvl w:val="0"/>
          <w:numId w:val="6"/>
        </w:numPr>
        <w:spacing w:after="0"/>
        <w:ind w:left="426" w:hanging="437"/>
        <w:rPr>
          <w:rFonts w:cs="Arial"/>
        </w:rPr>
      </w:pPr>
      <w:r w:rsidRPr="00A45E96">
        <w:rPr>
          <w:rFonts w:eastAsia="MS Mincho" w:cs="Calibri"/>
        </w:rPr>
        <w:t xml:space="preserve">MEZZOMO, Iracema de Barros. </w:t>
      </w:r>
      <w:r w:rsidRPr="00A45E96">
        <w:rPr>
          <w:rFonts w:eastAsia="MS Mincho" w:cs="Calibri"/>
          <w:b/>
        </w:rPr>
        <w:t>Os Serviços de Alimentação- Planejamento e administração.</w:t>
      </w:r>
      <w:r w:rsidRPr="00A45E96">
        <w:rPr>
          <w:rFonts w:eastAsia="MS Mincho" w:cs="Calibri"/>
        </w:rPr>
        <w:t xml:space="preserve"> São Paulo: Manole, 2002.</w:t>
      </w:r>
    </w:p>
    <w:p w:rsidR="00752C06" w:rsidRPr="00A45E96" w:rsidRDefault="00A45E96" w:rsidP="00A45E96">
      <w:pPr>
        <w:pStyle w:val="PargrafodaLista"/>
        <w:numPr>
          <w:ilvl w:val="0"/>
          <w:numId w:val="6"/>
        </w:numPr>
        <w:spacing w:after="0"/>
        <w:ind w:left="426" w:hanging="437"/>
        <w:rPr>
          <w:rFonts w:cs="Arial"/>
        </w:rPr>
      </w:pPr>
      <w:r w:rsidRPr="00A45E96">
        <w:rPr>
          <w:rFonts w:eastAsia="MS Mincho" w:cs="Calibri"/>
        </w:rPr>
        <w:t xml:space="preserve">WAITZBERG, Dan L. </w:t>
      </w:r>
      <w:r w:rsidRPr="00A45E96">
        <w:rPr>
          <w:rFonts w:eastAsia="MS Mincho" w:cs="Calibri"/>
          <w:b/>
        </w:rPr>
        <w:t>Nutrição oral, enteral, parenteral na prática clínica II</w:t>
      </w:r>
      <w:r w:rsidRPr="00A45E96">
        <w:rPr>
          <w:rFonts w:eastAsia="MS Mincho" w:cs="Calibri"/>
        </w:rPr>
        <w:t>. São Paulo: Atheneu, 2004</w:t>
      </w:r>
      <w:proofErr w:type="gramStart"/>
      <w:r w:rsidR="00752C06" w:rsidRPr="00A45E96">
        <w:rPr>
          <w:rFonts w:cs="Arial"/>
        </w:rPr>
        <w:br/>
      </w:r>
      <w:proofErr w:type="gramEnd"/>
    </w:p>
    <w:p w:rsidR="008574FB" w:rsidRPr="00A45E96" w:rsidRDefault="008574FB" w:rsidP="008574FB">
      <w:pPr>
        <w:pStyle w:val="PargrafodaLista"/>
        <w:spacing w:after="0"/>
        <w:ind w:left="426"/>
        <w:jc w:val="both"/>
        <w:rPr>
          <w:rFonts w:cs="Arial"/>
        </w:rPr>
      </w:pPr>
    </w:p>
    <w:p w:rsidR="003E50BF" w:rsidRPr="00A45E96" w:rsidRDefault="003E50BF" w:rsidP="003E50BF">
      <w:pPr>
        <w:suppressAutoHyphens/>
        <w:autoSpaceDE w:val="0"/>
        <w:autoSpaceDN w:val="0"/>
        <w:adjustRightInd w:val="0"/>
        <w:spacing w:before="240" w:after="0"/>
        <w:jc w:val="both"/>
        <w:textAlignment w:val="baseline"/>
        <w:rPr>
          <w:rFonts w:eastAsia="MS Mincho" w:cstheme="minorHAnsi"/>
        </w:rPr>
      </w:pPr>
    </w:p>
    <w:p w:rsidR="00C46B0A" w:rsidRPr="00A45E96" w:rsidRDefault="00C46B0A" w:rsidP="00C46B0A">
      <w:r w:rsidRPr="00A45E96">
        <w:br/>
      </w:r>
    </w:p>
    <w:sectPr w:rsidR="00C46B0A" w:rsidRPr="00A45E9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6C" w:rsidRDefault="00BB386C" w:rsidP="00F92DB4">
      <w:pPr>
        <w:spacing w:after="0" w:line="240" w:lineRule="auto"/>
      </w:pPr>
      <w:r>
        <w:separator/>
      </w:r>
    </w:p>
  </w:endnote>
  <w:endnote w:type="continuationSeparator" w:id="0">
    <w:p w:rsidR="00BB386C" w:rsidRDefault="00BB386C" w:rsidP="00F9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99, 'Times New Roman'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B4" w:rsidRPr="00AB5E23" w:rsidRDefault="00F92DB4" w:rsidP="00F92DB4">
    <w:pPr>
      <w:pStyle w:val="Rodap"/>
      <w:tabs>
        <w:tab w:val="clear" w:pos="8504"/>
        <w:tab w:val="right" w:pos="9356"/>
      </w:tabs>
      <w:ind w:right="-852"/>
      <w:jc w:val="right"/>
      <w:rPr>
        <w:sz w:val="16"/>
      </w:rPr>
    </w:pPr>
    <w:r w:rsidRPr="00AB5E23">
      <w:rPr>
        <w:sz w:val="16"/>
      </w:rPr>
      <w:t>Rua Borges de Medeiros, 25 – Centro – Encantado – R</w:t>
    </w:r>
    <w:r>
      <w:rPr>
        <w:sz w:val="16"/>
      </w:rPr>
      <w:t>S</w:t>
    </w:r>
    <w:r w:rsidRPr="00AB5E23">
      <w:rPr>
        <w:sz w:val="16"/>
      </w:rPr>
      <w:t xml:space="preserve"> – CEP 95960-000</w:t>
    </w:r>
    <w:r w:rsidRPr="00AB5E23">
      <w:rPr>
        <w:sz w:val="16"/>
      </w:rPr>
      <w:br/>
      <w:t xml:space="preserve">Fone: (51) 3751-6812 – </w:t>
    </w:r>
    <w:hyperlink r:id="rId1" w:history="1">
      <w:r w:rsidRPr="00AB5E23">
        <w:rPr>
          <w:rStyle w:val="Hyperlink"/>
          <w:sz w:val="16"/>
        </w:rPr>
        <w:t>www.lumeonline.com.br</w:t>
      </w:r>
    </w:hyperlink>
    <w:r w:rsidRPr="00AB5E23">
      <w:rPr>
        <w:sz w:val="16"/>
      </w:rPr>
      <w:t xml:space="preserve"> – E-mail: </w:t>
    </w:r>
    <w:hyperlink r:id="rId2" w:history="1">
      <w:r w:rsidRPr="00AB5E23">
        <w:rPr>
          <w:rStyle w:val="Hyperlink"/>
          <w:sz w:val="16"/>
        </w:rPr>
        <w:t>pedagogico@lumeonline.com.br</w:t>
      </w:r>
    </w:hyperlink>
    <w:r w:rsidRPr="00AB5E23">
      <w:rPr>
        <w:sz w:val="16"/>
      </w:rPr>
      <w:t xml:space="preserve"> </w:t>
    </w:r>
  </w:p>
  <w:p w:rsidR="00F92DB4" w:rsidRDefault="00F92D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6C" w:rsidRDefault="00BB386C" w:rsidP="00F92DB4">
      <w:pPr>
        <w:spacing w:after="0" w:line="240" w:lineRule="auto"/>
      </w:pPr>
      <w:r>
        <w:separator/>
      </w:r>
    </w:p>
  </w:footnote>
  <w:footnote w:type="continuationSeparator" w:id="0">
    <w:p w:rsidR="00BB386C" w:rsidRDefault="00BB386C" w:rsidP="00F9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B4" w:rsidRDefault="00F92D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67E90C" wp14:editId="5E64601A">
          <wp:simplePos x="0" y="0"/>
          <wp:positionH relativeFrom="column">
            <wp:posOffset>5020945</wp:posOffset>
          </wp:positionH>
          <wp:positionV relativeFrom="paragraph">
            <wp:posOffset>-184785</wp:posOffset>
          </wp:positionV>
          <wp:extent cx="1213621" cy="33337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umeCEP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621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1B39AE"/>
    <w:multiLevelType w:val="hybridMultilevel"/>
    <w:tmpl w:val="FFF627A6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206EDD"/>
    <w:multiLevelType w:val="hybridMultilevel"/>
    <w:tmpl w:val="D436A460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961FBF"/>
    <w:multiLevelType w:val="hybridMultilevel"/>
    <w:tmpl w:val="10EA390A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744F61"/>
    <w:multiLevelType w:val="hybridMultilevel"/>
    <w:tmpl w:val="E86AE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35E72"/>
    <w:multiLevelType w:val="hybridMultilevel"/>
    <w:tmpl w:val="F5E4AF36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4C364B80">
      <w:numFmt w:val="bullet"/>
      <w:lvlText w:val="·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CA12A1"/>
    <w:multiLevelType w:val="hybridMultilevel"/>
    <w:tmpl w:val="C8B21168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D72307"/>
    <w:multiLevelType w:val="hybridMultilevel"/>
    <w:tmpl w:val="133EA24A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412068"/>
    <w:multiLevelType w:val="hybridMultilevel"/>
    <w:tmpl w:val="A6942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96300"/>
    <w:multiLevelType w:val="hybridMultilevel"/>
    <w:tmpl w:val="66F67FF6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5B2422"/>
    <w:multiLevelType w:val="hybridMultilevel"/>
    <w:tmpl w:val="A580CA50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8A7C4C"/>
    <w:multiLevelType w:val="hybridMultilevel"/>
    <w:tmpl w:val="81CE5D88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4B41B7"/>
    <w:multiLevelType w:val="hybridMultilevel"/>
    <w:tmpl w:val="A7527176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D403E3"/>
    <w:multiLevelType w:val="hybridMultilevel"/>
    <w:tmpl w:val="9DBCA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D0E3D"/>
    <w:multiLevelType w:val="hybridMultilevel"/>
    <w:tmpl w:val="1B7E0174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EC6968"/>
    <w:multiLevelType w:val="hybridMultilevel"/>
    <w:tmpl w:val="0BDA1A42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5F267F"/>
    <w:multiLevelType w:val="hybridMultilevel"/>
    <w:tmpl w:val="40E85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87ACC"/>
    <w:multiLevelType w:val="hybridMultilevel"/>
    <w:tmpl w:val="945E8866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9F314E"/>
    <w:multiLevelType w:val="hybridMultilevel"/>
    <w:tmpl w:val="E3C8186E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7613FF"/>
    <w:multiLevelType w:val="hybridMultilevel"/>
    <w:tmpl w:val="C7B4DA08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5E2A9F"/>
    <w:multiLevelType w:val="hybridMultilevel"/>
    <w:tmpl w:val="BE2C1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42AB6"/>
    <w:multiLevelType w:val="hybridMultilevel"/>
    <w:tmpl w:val="820221BA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5D015C"/>
    <w:multiLevelType w:val="hybridMultilevel"/>
    <w:tmpl w:val="ED267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7476C"/>
    <w:multiLevelType w:val="hybridMultilevel"/>
    <w:tmpl w:val="9078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5"/>
  </w:num>
  <w:num w:numId="5">
    <w:abstractNumId w:val="20"/>
  </w:num>
  <w:num w:numId="6">
    <w:abstractNumId w:val="24"/>
  </w:num>
  <w:num w:numId="7">
    <w:abstractNumId w:val="17"/>
  </w:num>
  <w:num w:numId="8">
    <w:abstractNumId w:val="12"/>
  </w:num>
  <w:num w:numId="9">
    <w:abstractNumId w:val="3"/>
  </w:num>
  <w:num w:numId="10">
    <w:abstractNumId w:val="14"/>
  </w:num>
  <w:num w:numId="11">
    <w:abstractNumId w:val="4"/>
  </w:num>
  <w:num w:numId="12">
    <w:abstractNumId w:val="22"/>
  </w:num>
  <w:num w:numId="13">
    <w:abstractNumId w:val="21"/>
  </w:num>
  <w:num w:numId="14">
    <w:abstractNumId w:val="2"/>
  </w:num>
  <w:num w:numId="15">
    <w:abstractNumId w:val="18"/>
  </w:num>
  <w:num w:numId="16">
    <w:abstractNumId w:val="10"/>
  </w:num>
  <w:num w:numId="17">
    <w:abstractNumId w:val="7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0"/>
  </w:num>
  <w:num w:numId="23">
    <w:abstractNumId w:val="9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B4"/>
    <w:rsid w:val="00242161"/>
    <w:rsid w:val="003302CC"/>
    <w:rsid w:val="00387398"/>
    <w:rsid w:val="003E50BF"/>
    <w:rsid w:val="004902FB"/>
    <w:rsid w:val="00524345"/>
    <w:rsid w:val="00752C06"/>
    <w:rsid w:val="008574FB"/>
    <w:rsid w:val="00860C77"/>
    <w:rsid w:val="009E29E6"/>
    <w:rsid w:val="00A45E96"/>
    <w:rsid w:val="00B53DD9"/>
    <w:rsid w:val="00B9648C"/>
    <w:rsid w:val="00BB386C"/>
    <w:rsid w:val="00C46B0A"/>
    <w:rsid w:val="00C746E2"/>
    <w:rsid w:val="00E45319"/>
    <w:rsid w:val="00E66A55"/>
    <w:rsid w:val="00EA58BA"/>
    <w:rsid w:val="00F9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DB4"/>
  </w:style>
  <w:style w:type="paragraph" w:styleId="Rodap">
    <w:name w:val="footer"/>
    <w:basedOn w:val="Normal"/>
    <w:link w:val="RodapChar"/>
    <w:uiPriority w:val="99"/>
    <w:unhideWhenUsed/>
    <w:rsid w:val="00F92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DB4"/>
  </w:style>
  <w:style w:type="character" w:styleId="Hyperlink">
    <w:name w:val="Hyperlink"/>
    <w:basedOn w:val="Fontepargpadro"/>
    <w:uiPriority w:val="99"/>
    <w:unhideWhenUsed/>
    <w:rsid w:val="00F92D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46B0A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0B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0BF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E29E6"/>
  </w:style>
  <w:style w:type="character" w:customStyle="1" w:styleId="WW8Num4z1">
    <w:name w:val="WW8Num4z1"/>
    <w:rsid w:val="00A45E96"/>
    <w:rPr>
      <w:rFonts w:ascii="Courier New" w:hAnsi="Courier New" w:cs="Courier New"/>
    </w:rPr>
  </w:style>
  <w:style w:type="paragraph" w:customStyle="1" w:styleId="Standard">
    <w:name w:val="Standard"/>
    <w:rsid w:val="00A45E9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font299, 'Times New Roman'"/>
      <w:kern w:val="3"/>
      <w:sz w:val="24"/>
      <w:szCs w:val="24"/>
      <w:lang w:eastAsia="pt-BR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DB4"/>
  </w:style>
  <w:style w:type="paragraph" w:styleId="Rodap">
    <w:name w:val="footer"/>
    <w:basedOn w:val="Normal"/>
    <w:link w:val="RodapChar"/>
    <w:uiPriority w:val="99"/>
    <w:unhideWhenUsed/>
    <w:rsid w:val="00F92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DB4"/>
  </w:style>
  <w:style w:type="character" w:styleId="Hyperlink">
    <w:name w:val="Hyperlink"/>
    <w:basedOn w:val="Fontepargpadro"/>
    <w:uiPriority w:val="99"/>
    <w:unhideWhenUsed/>
    <w:rsid w:val="00F92D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46B0A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0B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0BF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E29E6"/>
  </w:style>
  <w:style w:type="character" w:customStyle="1" w:styleId="WW8Num4z1">
    <w:name w:val="WW8Num4z1"/>
    <w:rsid w:val="00A45E96"/>
    <w:rPr>
      <w:rFonts w:ascii="Courier New" w:hAnsi="Courier New" w:cs="Courier New"/>
    </w:rPr>
  </w:style>
  <w:style w:type="paragraph" w:customStyle="1" w:styleId="Standard">
    <w:name w:val="Standard"/>
    <w:rsid w:val="00A45E9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font299, 'Times New Roman'"/>
      <w:kern w:val="3"/>
      <w:sz w:val="24"/>
      <w:szCs w:val="24"/>
      <w:lang w:eastAsia="pt-B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dagogico@lumeonline.com.br" TargetMode="External"/><Relationship Id="rId1" Type="http://schemas.openxmlformats.org/officeDocument/2006/relationships/hyperlink" Target="http://www.lumeonlin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2018-01-22T21:22:00Z</cp:lastPrinted>
  <dcterms:created xsi:type="dcterms:W3CDTF">2017-10-02T21:13:00Z</dcterms:created>
  <dcterms:modified xsi:type="dcterms:W3CDTF">2018-01-29T23:28:00Z</dcterms:modified>
</cp:coreProperties>
</file>