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DF" w:rsidRPr="006D1ADF" w:rsidRDefault="00381549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pt-BR"/>
        </w:rPr>
        <w:t>GRADUAÇÃO EM GESTÃO AMBIENTAL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Elaboração e Análise de Projetos Ambientais e Sociais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C2/2018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78.0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Gestão da Biodiversidade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C2/2018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78.0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O Uso do SIG em Estudos Ambientais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C1/2018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78.0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Recuperação de Áreas Degradadas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C1/2018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78.0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Auditoria e Certificação Ambiental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B2/2018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81.0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Marketing Verde e Responsabilidade Social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B2/2018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84.0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Geologia e Geomorfologia na Gestão Ambiental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B1/2018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71.0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Logística Reversa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B1/2018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74.0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Acidentes Ambientais e Planos de Contingência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A2/2018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84.0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Gestão Ambiental Urbana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A2/2018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87.0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Avaliação de Impactos Ambientais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A1/2018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79.0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Gestão dos Resíduos Sólidos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A1/2018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76.0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Economia dos Recursos Naturais e Ambientais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C2/2017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80.0</w:t>
      </w:r>
    </w:p>
    <w:p w:rsid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</w:p>
    <w:p w:rsid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</w:p>
    <w:p w:rsidR="00381549" w:rsidRDefault="00381549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bookmarkStart w:id="0" w:name="_GoBack"/>
      <w:bookmarkEnd w:id="0"/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lastRenderedPageBreak/>
        <w:t>Gestão de Recursos Hídricos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C2/2017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83.0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Educação Ambiental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C1/2017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85.0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Gestão Turística de Ambientes Naturais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C1/2017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85.0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Poluição dos Ecossistemas Terrestres, Aquáticos e Atmosféricos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B2/2017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80.0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Sistemas de Gestão Ambiental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B2/2017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77.0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Estatística Aplicada às Ciências Sociais e Ambientais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B1/2017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83.0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Recursos Energéticos e Ambiente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B1/2017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86.0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Ecologia de Sistemas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A2/2017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73.0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Química Ambiental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A2/2017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70.0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Direito Ambiental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A1/2017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70.0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Gestão Ambiental e Desenvolvimento Sustentável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A1/2017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APR.MÉDIA</w:t>
      </w:r>
    </w:p>
    <w:p w:rsidR="006D1ADF" w:rsidRPr="006D1ADF" w:rsidRDefault="006D1ADF" w:rsidP="006D1ADF">
      <w:pPr>
        <w:shd w:val="clear" w:color="auto" w:fill="4270A1"/>
        <w:spacing w:line="375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FFFFFF"/>
          <w:sz w:val="14"/>
          <w:szCs w:val="14"/>
          <w:lang w:eastAsia="pt-BR"/>
        </w:rPr>
        <w:t>76.0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</w:p>
    <w:p w:rsid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 xml:space="preserve">Educação das Relações Étnico-Raciais e para o Ensino de História e Cultura Afro-Brasileira e </w:t>
      </w:r>
      <w:proofErr w:type="spellStart"/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Afri</w:t>
      </w:r>
      <w:proofErr w:type="spellEnd"/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A1/2017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CONCLUIDA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</w:p>
    <w:p w:rsid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Formação Inicial em Educação a Distância</w:t>
      </w:r>
    </w:p>
    <w:p w:rsidR="006D1ADF" w:rsidRP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999999"/>
          <w:sz w:val="14"/>
          <w:szCs w:val="14"/>
          <w:lang w:eastAsia="pt-BR"/>
        </w:rPr>
        <w:t>Módulo A1/2017</w:t>
      </w:r>
    </w:p>
    <w:p w:rsidR="006D1ADF" w:rsidRDefault="006D1ADF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  <w:r w:rsidRPr="006D1ADF">
        <w:rPr>
          <w:rFonts w:ascii="Arial" w:eastAsia="Times New Roman" w:hAnsi="Arial" w:cs="Arial"/>
          <w:color w:val="666666"/>
          <w:sz w:val="14"/>
          <w:szCs w:val="14"/>
          <w:lang w:eastAsia="pt-BR"/>
        </w:rPr>
        <w:t>CONCLUIDA</w:t>
      </w:r>
    </w:p>
    <w:p w:rsidR="002C08E5" w:rsidRDefault="002C08E5" w:rsidP="006D1ADF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t-BR"/>
        </w:rPr>
      </w:pPr>
    </w:p>
    <w:p w:rsidR="002C08E5" w:rsidRPr="002C08E5" w:rsidRDefault="002C08E5" w:rsidP="006D1ADF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</w:p>
    <w:p w:rsidR="002C08E5" w:rsidRPr="002C08E5" w:rsidRDefault="002C08E5" w:rsidP="006D1ADF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2C08E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CARGA HORÁRIA TOTAL                   1824</w:t>
      </w:r>
    </w:p>
    <w:p w:rsidR="002C08E5" w:rsidRPr="002C08E5" w:rsidRDefault="002C08E5" w:rsidP="006D1ADF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2C08E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CARGA HORÁRIA CURSADA             1824</w:t>
      </w:r>
    </w:p>
    <w:p w:rsidR="002C08E5" w:rsidRPr="002C08E5" w:rsidRDefault="002C08E5" w:rsidP="006D1ADF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2C08E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PERCENTUAL CURSADO                   100%</w:t>
      </w:r>
    </w:p>
    <w:sectPr w:rsidR="002C08E5" w:rsidRPr="002C0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C62"/>
    <w:multiLevelType w:val="multilevel"/>
    <w:tmpl w:val="2DF8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DF"/>
    <w:rsid w:val="002C08E5"/>
    <w:rsid w:val="00381549"/>
    <w:rsid w:val="006D1ADF"/>
    <w:rsid w:val="00D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79C2D-F911-478F-874E-2C069544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8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1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Servervv</dc:creator>
  <cp:keywords/>
  <dc:description/>
  <cp:lastModifiedBy>Servervv</cp:lastModifiedBy>
  <cp:revision>5</cp:revision>
  <dcterms:created xsi:type="dcterms:W3CDTF">2020-11-05T16:30:00Z</dcterms:created>
  <dcterms:modified xsi:type="dcterms:W3CDTF">2020-11-05T17:38:00Z</dcterms:modified>
</cp:coreProperties>
</file>