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Acordo de Cooperação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Acadêmica Internacional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1860"/>
        <w:gridCol w:w="2419"/>
        <w:gridCol w:w="2419"/>
        <w:tblGridChange w:id="0">
          <w:tblGrid>
            <w:gridCol w:w="2940"/>
            <w:gridCol w:w="1860"/>
            <w:gridCol w:w="2419"/>
            <w:gridCol w:w="2419"/>
          </w:tblGrid>
        </w:tblGridChange>
      </w:tblGrid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 Brasileira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Universitário UNIVATES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Sede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Avenida Avelino Tallini, 171, Lajeado-RS, Brasil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reitoria@univates.br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(51) 3714-7019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Atos legais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Portaria MEC nº 907 de 06 de Julho de 2012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Portaria SERES/MEC nº 667 de 05 de Novembro de 2014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Reitor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 Ney José Lazzari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Contato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Assessoria para Assuntos Interinstitucionais e Internacionais - AAII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Responsável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Viviane Bischoff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aaii@univates.br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(51) 3714-7019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Mantenedora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Fundação Vale do Taquari de Educação e Desenvolvimento Social - FUVATES 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CNPJ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04.008.342/0001-09</w:t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Presidente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 Carlos Candido da Silva Cyrne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1860"/>
        <w:gridCol w:w="2419"/>
        <w:gridCol w:w="2419"/>
        <w:tblGridChange w:id="0">
          <w:tblGrid>
            <w:gridCol w:w="2940"/>
            <w:gridCol w:w="1860"/>
            <w:gridCol w:w="2419"/>
            <w:gridCol w:w="2419"/>
          </w:tblGrid>
        </w:tblGridChange>
      </w:tblGrid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 Estrangeira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País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Representante legal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Contato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Dados adicionais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(opcional)</w:t>
            </w:r>
          </w:p>
        </w:tc>
        <w:tc>
          <w:tcPr>
            <w:gridSpan w:val="3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Considerando a convergência de interesses na internacionalização institucional, com a ampliação das relações acadêmicas internacionais, as Instituições acima qualificadas, devidamente representadas, firmam o presente Acordo de Cooperação Acadêmica Internacional, nestes termos: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Primeira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objetivo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acordo é manifestar formalmente o interesse das Instituições signatárias de cooperarem, reciprocamente, no incentivo e viabilização das relações acadêmicas interinstitucionais de ensino, pesquisa e extensão, promovendo o intercâmbio de conhecimento, técnico, tecnológico, científico, cultural e estudantil, visando ao desenvolvimento conjunto do saber e à inovação.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1º</w:t>
      </w:r>
      <w:r w:rsidDel="00000000" w:rsidR="00000000" w:rsidRPr="00000000">
        <w:rPr>
          <w:rFonts w:ascii="Arial" w:cs="Arial" w:eastAsia="Arial" w:hAnsi="Arial"/>
          <w:rtl w:val="0"/>
        </w:rPr>
        <w:t xml:space="preserve"> As ações específicas decorrentes deste acordo são detalhadas e reguladas em aditivos firmados por ambas Instituições.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2º</w:t>
      </w:r>
      <w:r w:rsidDel="00000000" w:rsidR="00000000" w:rsidRPr="00000000">
        <w:rPr>
          <w:rFonts w:ascii="Arial" w:cs="Arial" w:eastAsia="Arial" w:hAnsi="Arial"/>
          <w:rtl w:val="0"/>
        </w:rPr>
        <w:t xml:space="preserve"> Os projetos decorrentes deste acordo devem ser assinados por ambas Instituições e neles são detalhados e regulados os objetivos, as metas, os cronogramas executivo e financeiro, os aportes de recursos, a coordenação, a equipe, as transferências de conhecimentos e tecnologias, a propriedade intelectual e industrial, os direitos autorais, as patentes, as publicações, dentre outras condições, tudo respeitando a legislação internacional e dos países envolvidos.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Segunda -</w:t>
      </w:r>
      <w:r w:rsidDel="00000000" w:rsidR="00000000" w:rsidRPr="00000000">
        <w:rPr>
          <w:rFonts w:ascii="Arial" w:cs="Arial" w:eastAsia="Arial" w:hAnsi="Arial"/>
          <w:rtl w:val="0"/>
        </w:rPr>
        <w:t xml:space="preserve"> As partes ajustam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cada parte é plena e exclusivamente responsável pela sua regularidade e das suas atividades institucionais.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cada parte é plena e exclusivamente responsável pelas pessoas a ela vinculadas, não gerando vínculo com a outra.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c) cada parte é plena e exclusivamente responsável pelos investimentos e despesas que tiver com as atividades decorrentes deste acordo.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Parágrafo único. </w:t>
      </w:r>
      <w:r w:rsidDel="00000000" w:rsidR="00000000" w:rsidRPr="00000000">
        <w:rPr>
          <w:rFonts w:ascii="Arial" w:cs="Arial" w:eastAsia="Arial" w:hAnsi="Arial"/>
          <w:rtl w:val="0"/>
        </w:rPr>
        <w:t xml:space="preserve"> As obrigações conjuntas ou de uma Instituição em relação à outra, dependem de ajuste formalizado através de aditivo firmado pelas partes.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Cláusula Terceira -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Referente ao intercâmbio estudantil: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cada Instituição deve selecionar os alunos que podem participar do program</w:t>
      </w:r>
      <w:r w:rsidDel="00000000" w:rsidR="00000000" w:rsidRPr="00000000">
        <w:rPr>
          <w:rFonts w:ascii="Arial" w:cs="Arial" w:eastAsia="Arial" w:hAnsi="Arial"/>
          <w:rtl w:val="0"/>
        </w:rPr>
        <w:t xml:space="preserve">a de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intercâmbio institucional, de acordo com os critérios da Instituição de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origem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de destino;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b) cada Instituição se resguarda o direito de aceitar o aluno da outra, em intercâmbio, no caso de compatibilidade entre os currículos dos cursos das instituições de origem e de destino;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c) cada Instituição se resguarda o direito de recusar o aluno da outra, em intercâmbio, se não atendidas as políticas e normas institucionais da instituição de destino;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d) cada Instituição pode regular os deveres e obrigações dos intercambistas, mediante termo específico, de acordo com as regras da instituição de destino;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e) a habitação ou alojamento dos in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tercambistas</w:t>
      </w:r>
      <w:r w:rsidDel="00000000" w:rsidR="00000000" w:rsidRPr="00000000">
        <w:rPr>
          <w:rFonts w:ascii="Arial" w:cs="Arial" w:eastAsia="Arial" w:hAnsi="Arial"/>
          <w:rtl w:val="0"/>
        </w:rPr>
        <w:t xml:space="preserve"> segue a infraestrutura e as regras da Instituição de destino;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f) a Instituição de origem não é responsável pelos atos dos alunos em intercâmbio;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g) cada Instituição deve auxiliar a outra na solução dos problemas com alunos em intercâmbio;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h) os intercambistas devem ser orientados pela Instituição de origem de que as despesas de viagem, assim como a responsabilidade pela regularização do visto e documentação necessária para entrada e permanência no país de destino, é de plena e exclusiva responsabilidade dos </w:t>
      </w:r>
      <w:r w:rsidDel="00000000" w:rsidR="00000000" w:rsidRPr="00000000">
        <w:rPr>
          <w:rFonts w:ascii="Arial" w:cs="Arial" w:eastAsia="Arial" w:hAnsi="Arial"/>
          <w:rtl w:val="0"/>
        </w:rPr>
        <w:t xml:space="preserve">mesmos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i) os intercambistas devem ser orientados pela Instituição de origem de que devem contratar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seguro</w:t>
      </w:r>
      <w:r w:rsidDel="00000000" w:rsidR="00000000" w:rsidRPr="00000000">
        <w:rPr>
          <w:rFonts w:ascii="Arial" w:cs="Arial" w:eastAsia="Arial" w:hAnsi="Arial"/>
          <w:rtl w:val="0"/>
        </w:rPr>
        <w:t xml:space="preserve"> (saúde-vida, sem prejuízo de outras coberturas exigidas) e mantê-lo vigente para todo o período de intercâmbio, respondendo  pessoalmente pelos riscos e  despesas não cobertas.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1º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Qualquer acréscimo ou alteração das condições acima só têm validade e eficácia em relação às partes que firmarem o respectivo ajuste.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2º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Cada Instituição pode oferecer ao intercambista outros benefícios, a seu critério, contudo responde única e isoladamente por isso, sem comprometer a outra.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Cláusula Quarta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As partes comprometem-se a tentar resolver consensualmente as dúvidas ou conflitos de interesses decorrentes deste acordo, elegendo, se não alcançarem o consenso, o Foro da Comarca de Lajeado, Rio Grande do Sul, Brasil.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Tudo ajustado, as partes e duas testemunhas assinam o presente instrumento, emitido em Língua Portuguesa, traduzido e totalmente compreendido pela Instituição Estrangeira, para os seus devidos fins e interesses, podendo as partes assinarem via traduzida para o idioma oficial do outro país, prevalecendo, em todos sentidos, a via em português.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"/>
        <w:gridCol w:w="2409.5"/>
        <w:gridCol w:w="2409.5"/>
        <w:gridCol w:w="2409.5"/>
        <w:tblGridChange w:id="0">
          <w:tblGrid>
            <w:gridCol w:w="2409.5"/>
            <w:gridCol w:w="2409.5"/>
            <w:gridCol w:w="2409.5"/>
            <w:gridCol w:w="2409.5"/>
          </w:tblGrid>
        </w:tblGridChange>
      </w:tblGrid>
      <w:tr>
        <w:trPr>
          <w:trHeight w:val="44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Lajeado-RS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</w:p>
        </w:tc>
        <w:tc>
          <w:tcPr>
            <w:gridSpan w:val="2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Reitor Prof. Ney José Lazzari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Responsável legal pelo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Universitário UNIVATES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Responsável legal pela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 Estrangeira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Testemunha 1</w:t>
        <w:tab/>
        <w:tab/>
        <w:tab/>
        <w:tab/>
        <w:t xml:space="preserve">        Testemunha 2</w:t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￼</w:t>
      </w:r>
    </w:p>
    <w:tbl>
      <w:tblPr>
        <w:tblStyle w:val="Table5"/>
        <w:bidiVisual w:val="0"/>
        <w:tblW w:w="14428.74777403505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3.7477740350578"/>
        <w:gridCol w:w="3375"/>
        <w:gridCol w:w="1410"/>
        <w:gridCol w:w="3360"/>
        <w:gridCol w:w="1365"/>
        <w:gridCol w:w="3435"/>
        <w:tblGridChange w:id="0">
          <w:tblGrid>
            <w:gridCol w:w="1483.7477740350578"/>
            <w:gridCol w:w="3375"/>
            <w:gridCol w:w="1410"/>
            <w:gridCol w:w="3360"/>
            <w:gridCol w:w="1365"/>
            <w:gridCol w:w="3435"/>
          </w:tblGrid>
        </w:tblGridChange>
      </w:tblGrid>
      <w:t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Documento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Documento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850.3937007874016" w:top="2267.716535433071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4953893</wp:posOffset>
          </wp:positionH>
          <wp:positionV relativeFrom="paragraph">
            <wp:posOffset>400050</wp:posOffset>
          </wp:positionV>
          <wp:extent cx="1056382" cy="804863"/>
          <wp:effectExtent b="0" l="0" r="0" t="0"/>
          <wp:wrapTopAndBottom distB="114300" distT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382" cy="804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